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adjustRightInd w:val="0"/>
        <w:snapToGrid w:val="0"/>
        <w:spacing w:line="300" w:lineRule="auto"/>
        <w:jc w:val="left"/>
        <w:rPr>
          <w:b/>
          <w:bCs/>
          <w:snapToGrid w:val="0"/>
          <w:kern w:val="0"/>
          <w:sz w:val="28"/>
          <w:szCs w:val="28"/>
        </w:rPr>
      </w:pPr>
      <w:r>
        <w:rPr>
          <w:b/>
          <w:bCs/>
          <w:snapToGrid w:val="0"/>
          <w:kern w:val="0"/>
          <w:sz w:val="28"/>
          <w:szCs w:val="28"/>
        </w:rPr>
        <w:pict>
          <v:shapetype id="_x0000_t202" coordsize="21600,21600" o:spt="202" path="m,l,21600r21600,l21600,xe">
            <v:stroke joinstyle="miter"/>
            <v:path gradientshapeok="t" o:connecttype="rect"/>
          </v:shapetype>
          <v:shape id="文本框 299" o:spid="_x0000_s1025" type="#_x0000_t202" style="height:46.8pt;margin-left:45.7pt;margin-top:-3.3pt;mso-height-relative:margin;mso-width-relative:margin;position:absolute;width:294.8pt;z-index:251658240" coordsize="21600,21600" stroked="t">
            <v:stroke joinstyle="miter"/>
            <v:textbox>
              <w:txbxContent>
                <w:p>
                  <w:pPr>
                    <w:spacing w:line="400" w:lineRule="exact"/>
                    <w:rPr>
                      <w:rFonts w:ascii="仿宋_GB2312" w:eastAsia="仿宋_GB2312"/>
                      <w:b/>
                      <w:sz w:val="26"/>
                      <w:szCs w:val="26"/>
                    </w:rPr>
                  </w:pPr>
                  <w:r>
                    <w:rPr>
                      <w:rFonts w:ascii="仿宋_GB2312" w:eastAsia="仿宋_GB2312" w:hint="eastAsia"/>
                      <w:b/>
                      <w:sz w:val="26"/>
                      <w:szCs w:val="26"/>
                    </w:rPr>
                    <w:t>深 圳 市 中 正 招 标 有 限 公 司</w:t>
                  </w:r>
                </w:p>
                <w:p>
                  <w:pPr>
                    <w:spacing w:line="400" w:lineRule="exact"/>
                    <w:rPr>
                      <w:rFonts w:ascii="仿宋_GB2312" w:eastAsia="仿宋_GB2312"/>
                      <w:sz w:val="22"/>
                    </w:rPr>
                  </w:pPr>
                  <w:r>
                    <w:rPr>
                      <w:rFonts w:ascii="仿宋_GB2312" w:eastAsia="仿宋_GB2312" w:hint="eastAsia"/>
                      <w:sz w:val="22"/>
                    </w:rPr>
                    <w:t>SHENZHEN ZHONGZHENG TENDERING CO.,LTD.</w:t>
                  </w:r>
                </w:p>
              </w:txbxContent>
            </v:textbox>
          </v:shape>
        </w:pict>
      </w:r>
      <w:r>
        <w:rPr>
          <w:b/>
          <w:kern w:val="0"/>
          <w:sz w:val="28"/>
          <w:szCs w:val="28"/>
        </w:rPr>
        <w:drawing>
          <wp:inline distT="0" distB="0" distL="0" distR="0">
            <wp:extent cx="552450" cy="476250"/>
            <wp:effectExtent l="57150" t="19050" r="190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5" cstate="print"/>
                    <a:stretch>
                      <a:fillRect/>
                    </a:stretch>
                  </pic:blipFill>
                  <pic:spPr>
                    <a:xfrm>
                      <a:off x="0" y="0"/>
                      <a:ext cx="552450" cy="476250"/>
                    </a:xfrm>
                    <a:prstGeom prst="rect">
                      <a:avLst/>
                    </a:prstGeom>
                    <a:solidFill>
                      <a:schemeClr val="bg1"/>
                    </a:solidFill>
                    <a:ln w="9525">
                      <a:noFill/>
                      <a:miter lim="800000"/>
                      <a:headEnd/>
                      <a:tailEnd/>
                    </a:ln>
                    <a:scene3d>
                      <a:camera prst="orthographicFront"/>
                      <a:lightRig rig="threePt" dir="t"/>
                    </a:scene3d>
                    <a:sp3d extrusionH="76200" contourW="12700">
                      <a:extrusionClr>
                        <a:schemeClr val="bg1"/>
                      </a:extrusionClr>
                      <a:contourClr>
                        <a:schemeClr val="bg1"/>
                      </a:contourClr>
                    </a:sp3d>
                  </pic:spPr>
                </pic:pic>
              </a:graphicData>
            </a:graphic>
          </wp:inline>
        </w:drawing>
      </w:r>
    </w:p>
    <w:p>
      <w:pPr>
        <w:ind w:left="-103" w:hanging="323" w:leftChars="-203" w:hangingChars="154"/>
        <w:rPr>
          <w:sz w:val="72"/>
          <w:szCs w:val="72"/>
        </w:rPr>
      </w:pPr>
    </w:p>
    <w:p>
      <w:pPr>
        <w:adjustRightInd w:val="0"/>
        <w:snapToGrid w:val="0"/>
        <w:spacing w:line="300" w:lineRule="auto"/>
        <w:jc w:val="left"/>
        <w:rPr>
          <w:b/>
          <w:bCs/>
          <w:snapToGrid w:val="0"/>
          <w:kern w:val="0"/>
          <w:sz w:val="28"/>
          <w:szCs w:val="28"/>
        </w:rPr>
      </w:pPr>
    </w:p>
    <w:p>
      <w:pPr>
        <w:adjustRightInd w:val="0"/>
        <w:snapToGrid w:val="0"/>
        <w:spacing w:line="300" w:lineRule="auto"/>
        <w:jc w:val="left"/>
        <w:rPr>
          <w:b/>
          <w:bCs/>
          <w:snapToGrid w:val="0"/>
          <w:kern w:val="0"/>
          <w:sz w:val="28"/>
          <w:szCs w:val="28"/>
        </w:rPr>
      </w:pPr>
    </w:p>
    <w:p>
      <w:pPr>
        <w:adjustRightInd w:val="0"/>
        <w:snapToGrid w:val="0"/>
        <w:spacing w:line="300" w:lineRule="auto"/>
        <w:jc w:val="center"/>
        <w:rPr>
          <w:rFonts w:asciiTheme="minorEastAsia" w:eastAsiaTheme="minorEastAsia" w:hAnsiTheme="minorEastAsia" w:hint="eastAsia"/>
          <w:b/>
          <w:snapToGrid w:val="0"/>
          <w:kern w:val="0"/>
          <w:sz w:val="70"/>
          <w:szCs w:val="70"/>
          <w:lang w:eastAsia="zh-CN"/>
        </w:rPr>
      </w:pPr>
      <w:r>
        <w:rPr>
          <w:rFonts w:asciiTheme="minorEastAsia" w:eastAsiaTheme="minorEastAsia" w:hAnsiTheme="minorEastAsia" w:hint="eastAsia"/>
          <w:b/>
          <w:bCs/>
          <w:snapToGrid w:val="0"/>
          <w:kern w:val="0"/>
          <w:sz w:val="70"/>
          <w:szCs w:val="70"/>
          <w:lang w:eastAsia="zh-CN"/>
        </w:rPr>
        <w:t>宝安区重点区域大气网格化监测分析及精细化管控服务项目</w:t>
      </w:r>
    </w:p>
    <w:p>
      <w:pPr>
        <w:adjustRightInd w:val="0"/>
        <w:snapToGrid w:val="0"/>
        <w:spacing w:line="300" w:lineRule="auto"/>
        <w:jc w:val="both"/>
        <w:rPr>
          <w:rFonts w:asciiTheme="minorEastAsia" w:eastAsiaTheme="minorEastAsia" w:hAnsiTheme="minorEastAsia"/>
          <w:b/>
          <w:snapToGrid w:val="0"/>
          <w:kern w:val="0"/>
          <w:sz w:val="44"/>
          <w:szCs w:val="44"/>
        </w:rPr>
      </w:pPr>
    </w:p>
    <w:p>
      <w:pPr>
        <w:adjustRightInd w:val="0"/>
        <w:snapToGrid w:val="0"/>
        <w:spacing w:line="300" w:lineRule="auto"/>
        <w:jc w:val="center"/>
        <w:rPr>
          <w:rFonts w:asciiTheme="minorEastAsia" w:eastAsiaTheme="minorEastAsia" w:hAnsiTheme="minorEastAsia"/>
          <w:b/>
          <w:snapToGrid w:val="0"/>
          <w:kern w:val="0"/>
          <w:sz w:val="44"/>
          <w:szCs w:val="44"/>
        </w:rPr>
      </w:pPr>
    </w:p>
    <w:p>
      <w:pPr>
        <w:adjustRightInd w:val="0"/>
        <w:snapToGrid w:val="0"/>
        <w:spacing w:line="300" w:lineRule="auto"/>
        <w:jc w:val="center"/>
        <w:rPr>
          <w:rFonts w:asciiTheme="minorEastAsia" w:eastAsiaTheme="minorEastAsia" w:hAnsiTheme="minorEastAsia"/>
          <w:b/>
          <w:snapToGrid w:val="0"/>
          <w:kern w:val="0"/>
          <w:sz w:val="90"/>
        </w:rPr>
      </w:pPr>
      <w:r>
        <w:rPr>
          <w:rFonts w:asciiTheme="minorEastAsia" w:eastAsiaTheme="minorEastAsia" w:hAnsiTheme="minorEastAsia" w:hint="eastAsia"/>
          <w:b/>
          <w:snapToGrid w:val="0"/>
          <w:kern w:val="0"/>
          <w:sz w:val="90"/>
        </w:rPr>
        <w:t>服务类招标文件</w:t>
      </w:r>
    </w:p>
    <w:p>
      <w:pPr>
        <w:adjustRightInd w:val="0"/>
        <w:snapToGrid w:val="0"/>
        <w:spacing w:line="300" w:lineRule="auto"/>
        <w:jc w:val="center"/>
        <w:rPr>
          <w:rFonts w:asciiTheme="minorEastAsia" w:eastAsiaTheme="minorEastAsia" w:hAnsiTheme="minorEastAsia"/>
          <w:b/>
          <w:snapToGrid w:val="0"/>
          <w:kern w:val="0"/>
          <w:sz w:val="32"/>
        </w:rPr>
      </w:pPr>
    </w:p>
    <w:p>
      <w:pPr>
        <w:adjustRightInd w:val="0"/>
        <w:snapToGrid w:val="0"/>
        <w:spacing w:line="300" w:lineRule="auto"/>
        <w:jc w:val="center"/>
        <w:rPr>
          <w:rFonts w:asciiTheme="minorEastAsia" w:eastAsiaTheme="minorEastAsia" w:hAnsiTheme="minorEastAsia" w:hint="eastAsia"/>
          <w:b/>
          <w:snapToGrid w:val="0"/>
          <w:kern w:val="0"/>
          <w:sz w:val="32"/>
          <w:lang w:eastAsia="zh-CN"/>
        </w:rPr>
      </w:pPr>
      <w:r>
        <w:rPr>
          <w:rFonts w:asciiTheme="minorEastAsia" w:eastAsiaTheme="minorEastAsia" w:hAnsiTheme="minorEastAsia" w:hint="eastAsia"/>
          <w:b/>
          <w:snapToGrid w:val="0"/>
          <w:kern w:val="0"/>
          <w:sz w:val="32"/>
        </w:rPr>
        <w:t>项目编号：</w:t>
      </w:r>
      <w:r>
        <w:rPr>
          <w:rFonts w:asciiTheme="minorEastAsia" w:eastAsiaTheme="minorEastAsia" w:hAnsiTheme="minorEastAsia" w:hint="eastAsia"/>
          <w:b/>
          <w:snapToGrid w:val="0"/>
          <w:kern w:val="0"/>
          <w:sz w:val="32"/>
          <w:lang w:eastAsia="zh-CN"/>
        </w:rPr>
        <w:t>SZDL2025000683</w:t>
      </w:r>
    </w:p>
    <w:p>
      <w:pPr>
        <w:adjustRightInd w:val="0"/>
        <w:snapToGrid w:val="0"/>
        <w:spacing w:line="300" w:lineRule="auto"/>
        <w:jc w:val="center"/>
        <w:rPr>
          <w:rFonts w:asciiTheme="minorEastAsia" w:eastAsiaTheme="minorEastAsia" w:hAnsiTheme="minorEastAsia"/>
          <w:b/>
          <w:snapToGrid w:val="0"/>
          <w:kern w:val="0"/>
          <w:sz w:val="18"/>
          <w:szCs w:val="18"/>
        </w:rPr>
      </w:pPr>
    </w:p>
    <w:p>
      <w:pPr>
        <w:adjustRightInd w:val="0"/>
        <w:snapToGrid w:val="0"/>
        <w:spacing w:line="300" w:lineRule="auto"/>
        <w:jc w:val="center"/>
        <w:rPr>
          <w:rFonts w:asciiTheme="minorEastAsia" w:eastAsiaTheme="minorEastAsia" w:hAnsiTheme="minorEastAsia"/>
          <w:b/>
          <w:snapToGrid w:val="0"/>
          <w:kern w:val="0"/>
          <w:sz w:val="44"/>
        </w:rPr>
      </w:pPr>
    </w:p>
    <w:p>
      <w:pPr>
        <w:adjustRightInd w:val="0"/>
        <w:snapToGrid w:val="0"/>
        <w:spacing w:line="300" w:lineRule="auto"/>
        <w:jc w:val="center"/>
        <w:rPr>
          <w:rFonts w:asciiTheme="minorEastAsia" w:eastAsiaTheme="minorEastAsia" w:hAnsiTheme="minorEastAsia"/>
          <w:b/>
          <w:snapToGrid w:val="0"/>
          <w:kern w:val="0"/>
          <w:sz w:val="44"/>
        </w:rPr>
      </w:pPr>
      <w:r>
        <w:rPr>
          <w:rFonts w:asciiTheme="minorEastAsia" w:eastAsiaTheme="minorEastAsia" w:hAnsiTheme="minorEastAsia"/>
          <w:b/>
          <w:snapToGrid w:val="0"/>
          <w:kern w:val="0"/>
          <w:sz w:val="44"/>
        </w:rPr>
        <w:t xml:space="preserve"> </w:t>
      </w:r>
    </w:p>
    <w:p>
      <w:pPr>
        <w:rPr>
          <w:rFonts w:asciiTheme="minorEastAsia" w:eastAsiaTheme="minorEastAsia" w:hAnsiTheme="minorEastAsia"/>
        </w:rPr>
      </w:pPr>
    </w:p>
    <w:p>
      <w:pPr>
        <w:rPr>
          <w:rFonts w:asciiTheme="minorEastAsia" w:eastAsiaTheme="minorEastAsia" w:hAnsiTheme="minorEastAsia"/>
        </w:rPr>
      </w:pPr>
    </w:p>
    <w:p>
      <w:pPr>
        <w:rPr>
          <w:rFonts w:asciiTheme="minorEastAsia" w:eastAsiaTheme="minorEastAsia" w:hAnsiTheme="minorEastAsia"/>
        </w:rPr>
      </w:pPr>
    </w:p>
    <w:p>
      <w:pPr>
        <w:pStyle w:val="Date"/>
        <w:adjustRightInd w:val="0"/>
        <w:snapToGrid w:val="0"/>
        <w:spacing w:line="300" w:lineRule="auto"/>
        <w:jc w:val="center"/>
        <w:rPr>
          <w:rFonts w:asciiTheme="minorEastAsia" w:eastAsiaTheme="minorEastAsia" w:hAnsiTheme="minorEastAsia" w:hint="eastAsia"/>
          <w:b/>
          <w:snapToGrid w:val="0"/>
          <w:sz w:val="30"/>
        </w:rPr>
      </w:pPr>
      <w:r>
        <w:rPr>
          <w:rFonts w:asciiTheme="minorEastAsia" w:eastAsiaTheme="minorEastAsia" w:hAnsiTheme="minorEastAsia" w:hint="eastAsia"/>
          <w:b/>
          <w:snapToGrid w:val="0"/>
          <w:sz w:val="30"/>
        </w:rPr>
        <w:t>二〇二</w:t>
      </w:r>
      <w:r>
        <w:rPr>
          <w:rFonts w:asciiTheme="minorEastAsia" w:eastAsiaTheme="minorEastAsia" w:hAnsiTheme="minorEastAsia" w:hint="eastAsia"/>
          <w:b/>
          <w:snapToGrid w:val="0"/>
          <w:sz w:val="30"/>
          <w:lang w:eastAsia="zh-CN"/>
        </w:rPr>
        <w:t>五</w:t>
      </w:r>
      <w:r>
        <w:rPr>
          <w:rFonts w:asciiTheme="minorEastAsia" w:eastAsiaTheme="minorEastAsia" w:hAnsiTheme="minorEastAsia" w:hint="eastAsia"/>
          <w:b/>
          <w:snapToGrid w:val="0"/>
          <w:sz w:val="30"/>
        </w:rPr>
        <w:t>年</w:t>
      </w:r>
      <w:r>
        <w:rPr>
          <w:rFonts w:asciiTheme="minorEastAsia" w:eastAsiaTheme="minorEastAsia" w:hAnsiTheme="minorEastAsia" w:hint="eastAsia"/>
          <w:b/>
          <w:snapToGrid w:val="0"/>
          <w:sz w:val="30"/>
          <w:lang w:val="en-US" w:eastAsia="zh-CN"/>
        </w:rPr>
        <w:t>五</w:t>
      </w:r>
      <w:r>
        <w:rPr>
          <w:rFonts w:asciiTheme="minorEastAsia" w:eastAsiaTheme="minorEastAsia" w:hAnsiTheme="minorEastAsia" w:hint="eastAsia"/>
          <w:b/>
          <w:snapToGrid w:val="0"/>
          <w:sz w:val="30"/>
        </w:rPr>
        <w:t>月</w:t>
      </w:r>
    </w:p>
    <w:p>
      <w:pPr>
        <w:rPr>
          <w:rFonts w:asciiTheme="minorEastAsia" w:eastAsiaTheme="minorEastAsia" w:hAnsiTheme="minorEastAsia" w:hint="eastAsia"/>
          <w:b/>
          <w:snapToGrid w:val="0"/>
          <w:sz w:val="30"/>
        </w:rPr>
      </w:pPr>
      <w:r>
        <w:rPr>
          <w:rFonts w:asciiTheme="minorEastAsia" w:eastAsiaTheme="minorEastAsia" w:hAnsiTheme="minorEastAsia" w:hint="eastAsia"/>
          <w:b/>
          <w:snapToGrid w:val="0"/>
          <w:sz w:val="30"/>
        </w:rPr>
        <w:br w:type="page"/>
      </w:r>
    </w:p>
    <w:p/>
    <w:p>
      <w:pPr>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特别警示条款</w:t>
      </w:r>
    </w:p>
    <w:p>
      <w:pPr>
        <w:spacing w:line="360" w:lineRule="auto"/>
        <w:ind w:firstLine="420" w:firstLineChars="200"/>
        <w:rPr>
          <w:rFonts w:ascii="仿宋" w:eastAsia="仿宋" w:hAnsi="仿宋"/>
          <w:sz w:val="24"/>
        </w:rPr>
      </w:pP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一、《深圳经济特区政府采购条例》</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第五十七条</w:t>
      </w:r>
      <w:r>
        <w:rPr>
          <w:rFonts w:asciiTheme="minorEastAsia" w:eastAsiaTheme="minorEastAsia" w:hAnsiTheme="minorEastAsia"/>
          <w:szCs w:val="21"/>
        </w:rPr>
        <w:t xml:space="preserve"> </w:t>
      </w:r>
      <w:r>
        <w:rPr>
          <w:rFonts w:asciiTheme="minorEastAsia" w:eastAsiaTheme="minorEastAsia" w:hAnsiTheme="minorEastAsia"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（一）在采购活动中应当回避而未回避的；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（二）未按本条例规定签订、履行采购合同，造成严重后果的；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（三）隐瞒真实情况，提供虚假资料的；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（四）以非法手段排斥其他供应商参与竞争的；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（五）与其他采购参加人串通投标的；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（六）恶意投诉的；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（七）向采购项目相关人行贿或者提供其他不当利益的；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（八）阻碍、抗拒主管部门监督检查的；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（九）其他违反本条例规定的行为。</w:t>
      </w:r>
    </w:p>
    <w:p>
      <w:pPr>
        <w:widowControl/>
        <w:spacing w:after="120"/>
        <w:jc w:val="left"/>
        <w:rPr>
          <w:rFonts w:ascii="Times New Roman" w:hAnsi="Times New Roman" w:eastAsiaTheme="minorEastAsia"/>
          <w:kern w:val="0"/>
          <w:sz w:val="24"/>
          <w:szCs w:val="24"/>
        </w:rPr>
      </w:pP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二、《深圳经济特区政府采购条例实施细则》</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第七十五条 供应商有下列情形的，属于采购条例所称的串通投标行为，按照采购条例第五十七条有关规定处理：</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（一）投标供应商之间相互约定给予未中标的供应商利益补偿；</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 xml:space="preserve">（二）不同投标供应商的法定代表人、主要经营负责人、项目投标授权代表人、项目负责人、主要技术人员为同一人、属同一单位或者在同一单位缴纳社会保险；          </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（三）不同投标供应商的投标文件由同一单位或者同一人编制，或者由同一人分阶段参与编制的；</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（四）不同投标供应商的投标文件或部分投标文件相互混装；</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（五）不同投标供应商的投标文件内容存在非正常一致；</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（六）由同一单位工作人员为两家以上（含两家）供应商进行同一项投标活动的；</w:t>
      </w:r>
    </w:p>
    <w:p>
      <w:pPr>
        <w:spacing w:line="440" w:lineRule="exact"/>
        <w:ind w:firstLine="420" w:firstLineChars="20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（七）主管部门依照法律、法规认定的其他情形。</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第七十七条 供应商有下列情形之一的，属于隐瞒真实情况，提供虚假资料，按照采购条例第五十七的有关规定处理：</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（一）通过转让或者租借等方式从其他单位获取资格或者资质证书投标的；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（二）由其他单位或者其他单位负责人在投标供应商编制的投标文件上加盖印章或者签字的；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（三）项目负责人或者主要技术人员不是本单位人员的；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（四）投标保证金不是从投标供应商基本账户转出的；</w:t>
      </w: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（五）其他隐瞒真实情况、提供虚假资料的行为。</w:t>
      </w:r>
    </w:p>
    <w:p>
      <w:pPr>
        <w:spacing w:line="440" w:lineRule="exact"/>
        <w:ind w:firstLine="372" w:firstLineChars="177"/>
        <w:rPr>
          <w:rFonts w:asciiTheme="minorEastAsia" w:eastAsiaTheme="minorEastAsia" w:hAnsiTheme="minorEastAsia"/>
          <w:szCs w:val="21"/>
        </w:rPr>
      </w:pPr>
      <w:r>
        <w:rPr>
          <w:rFonts w:asciiTheme="minorEastAsia" w:eastAsiaTheme="minorEastAsia" w:hAnsiTheme="minorEastAsia" w:hint="eastAsia"/>
          <w:szCs w:val="21"/>
        </w:rPr>
        <w:t>投标供应商不能提供项目负责人或者主要技术人员的劳动合同、社会保险等劳动关系证明材料的，视为存在前款第（三）项规定的情形。</w:t>
      </w:r>
    </w:p>
    <w:p>
      <w:pPr>
        <w:widowControl/>
        <w:spacing w:after="120"/>
        <w:jc w:val="left"/>
        <w:rPr>
          <w:rFonts w:ascii="Times New Roman" w:hAnsi="Times New Roman" w:eastAsiaTheme="minorEastAsia"/>
          <w:kern w:val="0"/>
          <w:sz w:val="24"/>
          <w:szCs w:val="24"/>
        </w:rPr>
      </w:pPr>
    </w:p>
    <w:p>
      <w:pPr>
        <w:spacing w:line="44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三、《中华人民共和国政府采购法实施条例》</w:t>
      </w:r>
    </w:p>
    <w:p>
      <w:pPr>
        <w:spacing w:line="440" w:lineRule="exact"/>
        <w:ind w:firstLine="372" w:firstLineChars="177"/>
        <w:rPr>
          <w:rFonts w:asciiTheme="minorEastAsia" w:eastAsiaTheme="minorEastAsia" w:hAnsiTheme="minorEastAsia"/>
          <w:szCs w:val="21"/>
        </w:rPr>
      </w:pPr>
      <w:r>
        <w:rPr>
          <w:rFonts w:asciiTheme="minorEastAsia" w:eastAsiaTheme="minorEastAsia" w:hAnsiTheme="minorEastAsia" w:hint="eastAsia"/>
          <w:szCs w:val="21"/>
        </w:rPr>
        <w:t>第十八条 单位负责人为同一人或者存在直接控股、管理关系的不同供应商，不得参加同一合同项下的政府采购活动。</w:t>
      </w:r>
    </w:p>
    <w:p>
      <w:pPr>
        <w:spacing w:line="440" w:lineRule="exact"/>
        <w:ind w:firstLine="372" w:firstLineChars="177"/>
        <w:rPr>
          <w:rFonts w:asciiTheme="minorEastAsia" w:eastAsiaTheme="minorEastAsia" w:hAnsiTheme="minorEastAsia" w:hint="eastAsia"/>
          <w:szCs w:val="21"/>
        </w:rPr>
      </w:pPr>
      <w:r>
        <w:rPr>
          <w:rFonts w:asciiTheme="minorEastAsia" w:eastAsiaTheme="minorEastAsia" w:hAnsiTheme="minorEastAsia" w:hint="eastAsia"/>
          <w:szCs w:val="21"/>
        </w:rPr>
        <w:t>除单一来源采购项目外，为采购项目提供整体设计、规范编制或者项目管理、监理、检测等服务的供应商，不得再参加该采购项目的其他采购活动。</w:t>
      </w:r>
    </w:p>
    <w:p>
      <w:pPr>
        <w:spacing w:line="440" w:lineRule="exact"/>
        <w:ind w:firstLine="372" w:firstLineChars="177"/>
        <w:rPr>
          <w:rFonts w:asciiTheme="minorEastAsia" w:eastAsiaTheme="minorEastAsia" w:hAnsiTheme="minorEastAsia" w:hint="eastAsia"/>
          <w:szCs w:val="21"/>
        </w:rPr>
      </w:pPr>
    </w:p>
    <w:p>
      <w:pPr>
        <w:spacing w:line="440" w:lineRule="exact"/>
        <w:ind w:left="0" w:firstLine="420" w:leftChars="0" w:firstLineChars="200"/>
        <w:rPr>
          <w:rFonts w:asciiTheme="minorEastAsia" w:eastAsiaTheme="minorEastAsia" w:hAnsiTheme="minorEastAsia" w:hint="eastAsia"/>
          <w:szCs w:val="21"/>
          <w:lang w:val="en-US" w:eastAsia="zh-CN"/>
        </w:rPr>
      </w:pPr>
      <w:r>
        <w:rPr>
          <w:rFonts w:asciiTheme="minorEastAsia" w:eastAsiaTheme="minorEastAsia" w:hAnsiTheme="minorEastAsia" w:hint="eastAsia"/>
          <w:szCs w:val="21"/>
          <w:lang w:val="en-US" w:eastAsia="zh-CN"/>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804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60"/>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序号</w:t>
            </w:r>
          </w:p>
        </w:tc>
        <w:tc>
          <w:tcPr>
            <w:tcW w:w="804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b/>
                <w:bCs/>
                <w:color w:val="auto"/>
                <w:sz w:val="21"/>
                <w:szCs w:val="21"/>
                <w:highlight w:val="none"/>
                <w:lang w:val="en-US" w:eastAsia="zh-CN"/>
              </w:rPr>
              <w:t>供应商参与投标禁止情形</w:t>
            </w:r>
          </w:p>
        </w:tc>
      </w:tr>
      <w:tr>
        <w:tblPrEx>
          <w:tblW w:w="0" w:type="auto"/>
          <w:jc w:val="center"/>
          <w:tblCellMar>
            <w:top w:w="0" w:type="dxa"/>
            <w:left w:w="108" w:type="dxa"/>
            <w:bottom w:w="0" w:type="dxa"/>
            <w:right w:w="108" w:type="dxa"/>
          </w:tblCellMar>
        </w:tblPrEx>
        <w:trPr>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1</w:t>
            </w:r>
          </w:p>
        </w:tc>
        <w:tc>
          <w:tcPr>
            <w:tcW w:w="804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与其他投标供应商的法定代表人、主要经营负责人、投标授权代表人、项目负责人、主要技术人员为</w:t>
            </w:r>
            <w:r>
              <w:rPr>
                <w:rFonts w:ascii="宋体" w:eastAsia="宋体" w:hAnsi="宋体" w:cs="宋体" w:hint="eastAsia"/>
                <w:b/>
                <w:bCs/>
                <w:color w:val="auto"/>
                <w:sz w:val="21"/>
                <w:szCs w:val="21"/>
                <w:highlight w:val="none"/>
                <w:lang w:val="en-US" w:eastAsia="zh-CN"/>
              </w:rPr>
              <w:t>同一人、属同一单位或者在同一单位缴纳社会保险</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trHeight w:val="90"/>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2</w:t>
            </w:r>
          </w:p>
        </w:tc>
        <w:tc>
          <w:tcPr>
            <w:tcW w:w="804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参与本项目政府采购活动时，与其他投标供应商存在单位负责人为</w:t>
            </w:r>
            <w:r>
              <w:rPr>
                <w:rFonts w:ascii="宋体" w:eastAsia="宋体" w:hAnsi="宋体" w:cs="宋体" w:hint="eastAsia"/>
                <w:b/>
                <w:bCs/>
                <w:color w:val="auto"/>
                <w:sz w:val="21"/>
                <w:szCs w:val="21"/>
                <w:highlight w:val="none"/>
                <w:lang w:val="en-US" w:eastAsia="zh-CN"/>
              </w:rPr>
              <w:t>同一人或直接控股、管理关系</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3</w:t>
            </w:r>
          </w:p>
        </w:tc>
        <w:tc>
          <w:tcPr>
            <w:tcW w:w="804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与其他投标供应商的投标文件或部分投标文件</w:t>
            </w:r>
            <w:r>
              <w:rPr>
                <w:rFonts w:ascii="宋体" w:eastAsia="宋体" w:hAnsi="宋体" w:cs="宋体" w:hint="eastAsia"/>
                <w:b/>
                <w:bCs/>
                <w:color w:val="auto"/>
                <w:sz w:val="21"/>
                <w:szCs w:val="21"/>
                <w:highlight w:val="none"/>
                <w:lang w:val="en-US" w:eastAsia="zh-CN"/>
              </w:rPr>
              <w:t>相互混装或存在非正常一致</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trHeight w:val="1088"/>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4</w:t>
            </w:r>
          </w:p>
        </w:tc>
        <w:tc>
          <w:tcPr>
            <w:tcW w:w="804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与其他投标供应商的投标文件由</w:t>
            </w:r>
            <w:r>
              <w:rPr>
                <w:rFonts w:ascii="宋体" w:eastAsia="宋体" w:hAnsi="宋体" w:cs="宋体" w:hint="eastAsia"/>
                <w:b/>
                <w:bCs/>
                <w:color w:val="auto"/>
                <w:sz w:val="21"/>
                <w:szCs w:val="21"/>
                <w:highlight w:val="none"/>
                <w:lang w:val="en-US" w:eastAsia="zh-CN"/>
              </w:rPr>
              <w:t>同一单位或者同一人编制</w:t>
            </w:r>
            <w:r>
              <w:rPr>
                <w:rFonts w:ascii="宋体" w:eastAsia="宋体" w:hAnsi="宋体" w:cs="宋体" w:hint="eastAsia"/>
                <w:color w:val="auto"/>
                <w:sz w:val="21"/>
                <w:szCs w:val="21"/>
                <w:highlight w:val="none"/>
                <w:lang w:val="en-US" w:eastAsia="zh-CN"/>
              </w:rPr>
              <w:t>，或者使用</w:t>
            </w:r>
            <w:r>
              <w:rPr>
                <w:rFonts w:ascii="宋体" w:eastAsia="宋体" w:hAnsi="宋体" w:cs="宋体" w:hint="eastAsia"/>
                <w:b/>
                <w:bCs/>
                <w:color w:val="auto"/>
                <w:sz w:val="21"/>
                <w:szCs w:val="21"/>
                <w:highlight w:val="none"/>
                <w:lang w:val="en-US" w:eastAsia="zh-CN"/>
              </w:rPr>
              <w:t>同一设备编制</w:t>
            </w:r>
            <w:r>
              <w:rPr>
                <w:rFonts w:ascii="宋体" w:eastAsia="宋体" w:hAnsi="宋体" w:cs="宋体" w:hint="eastAsia"/>
                <w:color w:val="auto"/>
                <w:sz w:val="21"/>
                <w:szCs w:val="21"/>
                <w:highlight w:val="none"/>
                <w:lang w:val="en-US" w:eastAsia="zh-CN"/>
              </w:rPr>
              <w:t>（“文件制作机器码”“文件创建标识码”一致）。</w:t>
            </w:r>
          </w:p>
        </w:tc>
      </w:tr>
      <w:tr>
        <w:tblPrEx>
          <w:tblW w:w="0" w:type="auto"/>
          <w:jc w:val="center"/>
          <w:tblCellMar>
            <w:top w:w="0" w:type="dxa"/>
            <w:left w:w="108" w:type="dxa"/>
            <w:bottom w:w="0" w:type="dxa"/>
            <w:right w:w="108" w:type="dxa"/>
          </w:tblCellMar>
        </w:tblPrEx>
        <w:trPr>
          <w:trHeight w:val="985"/>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5</w:t>
            </w:r>
          </w:p>
        </w:tc>
        <w:tc>
          <w:tcPr>
            <w:tcW w:w="804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提供</w:t>
            </w:r>
            <w:r>
              <w:rPr>
                <w:rFonts w:ascii="宋体" w:eastAsia="宋体" w:hAnsi="宋体" w:cs="宋体" w:hint="eastAsia"/>
                <w:b/>
                <w:bCs/>
                <w:color w:val="auto"/>
                <w:sz w:val="21"/>
                <w:szCs w:val="21"/>
                <w:highlight w:val="none"/>
                <w:lang w:val="en-US" w:eastAsia="zh-CN"/>
              </w:rPr>
              <w:t>未经出具机构核实</w:t>
            </w:r>
            <w:r>
              <w:rPr>
                <w:rFonts w:ascii="宋体" w:eastAsia="宋体" w:hAnsi="宋体" w:cs="宋体" w:hint="eastAsia"/>
                <w:color w:val="auto"/>
                <w:sz w:val="21"/>
                <w:szCs w:val="21"/>
                <w:highlight w:val="none"/>
                <w:lang w:val="en-US" w:eastAsia="zh-CN"/>
              </w:rPr>
              <w:t>的虚假的检验检测报告、业绩材料、社保缴纳证明、学历学位证书、职称认证证书等材料。</w:t>
            </w:r>
          </w:p>
        </w:tc>
      </w:tr>
      <w:tr>
        <w:tblPrEx>
          <w:tblW w:w="0" w:type="auto"/>
          <w:jc w:val="center"/>
          <w:tblCellMar>
            <w:top w:w="0" w:type="dxa"/>
            <w:left w:w="108" w:type="dxa"/>
            <w:bottom w:w="0" w:type="dxa"/>
            <w:right w:w="108" w:type="dxa"/>
          </w:tblCellMar>
        </w:tblPrEx>
        <w:trPr>
          <w:trHeight w:val="588"/>
          <w:jc w:val="center"/>
        </w:trPr>
        <w:tc>
          <w:tcPr>
            <w:tcW w:w="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6</w:t>
            </w:r>
          </w:p>
        </w:tc>
        <w:tc>
          <w:tcPr>
            <w:tcW w:w="8046"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擅自将投标密钥</w:t>
            </w:r>
            <w:r>
              <w:rPr>
                <w:rFonts w:ascii="宋体" w:eastAsia="宋体" w:hAnsi="宋体" w:cs="宋体" w:hint="eastAsia"/>
                <w:color w:val="auto"/>
                <w:sz w:val="21"/>
                <w:szCs w:val="21"/>
                <w:highlight w:val="none"/>
                <w:lang w:eastAsia="zh-CN"/>
              </w:rPr>
              <w:t>或</w:t>
            </w:r>
            <w:r>
              <w:rPr>
                <w:rFonts w:ascii="宋体" w:eastAsia="宋体" w:hAnsi="宋体" w:cs="宋体" w:hint="eastAsia"/>
                <w:color w:val="auto"/>
                <w:sz w:val="21"/>
                <w:szCs w:val="21"/>
                <w:highlight w:val="none"/>
                <w:lang w:val="en-US" w:eastAsia="zh-CN"/>
              </w:rPr>
              <w:t>电子营业执照出借他人使用或未妥善保管。</w:t>
            </w:r>
          </w:p>
        </w:tc>
      </w:tr>
    </w:tbl>
    <w:p>
      <w:pPr>
        <w:widowControl/>
        <w:jc w:val="left"/>
        <w:rPr>
          <w:rFonts w:ascii="宋体" w:hAnsi="宋体" w:cs="宋体"/>
          <w:kern w:val="0"/>
          <w:sz w:val="40"/>
          <w:szCs w:val="40"/>
        </w:rPr>
      </w:pPr>
      <w:r>
        <w:rPr>
          <w:sz w:val="40"/>
          <w:szCs w:val="40"/>
        </w:rPr>
        <w:br w:type="page"/>
      </w:r>
    </w:p>
    <w:p>
      <w:pPr>
        <w:pStyle w:val="NormalWeb"/>
        <w:spacing w:before="454" w:beforeAutospacing="0" w:after="454" w:afterAutospacing="0"/>
        <w:ind w:left="454" w:right="454"/>
        <w:jc w:val="center"/>
        <w:outlineLvl w:val="0"/>
        <w:rPr>
          <w:rFonts w:eastAsia="宋体" w:hint="eastAsia"/>
          <w:sz w:val="40"/>
          <w:szCs w:val="40"/>
          <w:lang w:eastAsia="zh-CN"/>
        </w:rPr>
      </w:pPr>
      <w:r>
        <w:rPr>
          <w:rFonts w:hint="eastAsia"/>
          <w:sz w:val="40"/>
          <w:szCs w:val="40"/>
          <w:lang w:eastAsia="zh-CN"/>
        </w:rPr>
        <w:t>宝安区重点区域大气网格化监测分析及精细化管控服务项目</w:t>
      </w:r>
    </w:p>
    <w:p>
      <w:pPr>
        <w:pStyle w:val="NormalWeb"/>
        <w:jc w:val="center"/>
        <w:outlineLvl w:val="1"/>
        <w:rPr>
          <w:rFonts w:ascii="黑体" w:eastAsia="黑体" w:hAnsi="黑体"/>
          <w:sz w:val="40"/>
          <w:szCs w:val="40"/>
        </w:rPr>
      </w:pPr>
      <w:r>
        <w:rPr>
          <w:rFonts w:ascii="黑体" w:eastAsia="黑体" w:hAnsi="黑体" w:hint="eastAsia"/>
          <w:sz w:val="40"/>
          <w:szCs w:val="40"/>
        </w:rPr>
        <w:t>招标文件信息</w:t>
      </w:r>
    </w:p>
    <w:tbl>
      <w:tblPr>
        <w:tblStyle w:val="TableNormal"/>
        <w:tblW w:w="7938" w:type="dxa"/>
        <w:jc w:val="center"/>
        <w:tblCellSpacing w:w="0" w:type="dxa"/>
        <w:tblCellMar>
          <w:top w:w="45" w:type="dxa"/>
          <w:left w:w="45" w:type="dxa"/>
          <w:bottom w:w="45" w:type="dxa"/>
          <w:right w:w="45" w:type="dxa"/>
        </w:tblCellMar>
      </w:tblPr>
      <w:tblGrid>
        <w:gridCol w:w="2722"/>
        <w:gridCol w:w="5216"/>
      </w:tblGrid>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2722" w:type="dxa"/>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项目编号：</w:t>
            </w:r>
          </w:p>
        </w:tc>
        <w:tc>
          <w:tcPr>
            <w:tcW w:w="0" w:type="auto"/>
            <w:vAlign w:val="center"/>
          </w:tcPr>
          <w:p>
            <w:pPr>
              <w:rPr>
                <w:rFonts w:asciiTheme="minorEastAsia" w:eastAsiaTheme="minorEastAsia" w:hAnsiTheme="minorEastAsia" w:cs="宋体" w:hint="eastAsia"/>
                <w:sz w:val="30"/>
                <w:szCs w:val="30"/>
                <w:lang w:eastAsia="zh-CN"/>
              </w:rPr>
            </w:pPr>
            <w:r>
              <w:rPr>
                <w:rFonts w:asciiTheme="minorEastAsia" w:eastAsiaTheme="minorEastAsia" w:hAnsiTheme="minorEastAsia" w:hint="eastAsia"/>
                <w:sz w:val="30"/>
                <w:szCs w:val="30"/>
                <w:lang w:eastAsia="zh-CN"/>
              </w:rPr>
              <w:t>SZDL2025000683</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项目名称：</w:t>
            </w:r>
          </w:p>
        </w:tc>
        <w:tc>
          <w:tcPr>
            <w:tcW w:w="0" w:type="auto"/>
            <w:vAlign w:val="center"/>
          </w:tcPr>
          <w:p>
            <w:pPr>
              <w:rPr>
                <w:rFonts w:asciiTheme="minorEastAsia" w:eastAsiaTheme="minorEastAsia" w:hAnsiTheme="minorEastAsia" w:cs="宋体" w:hint="eastAsia"/>
                <w:sz w:val="30"/>
                <w:szCs w:val="30"/>
                <w:lang w:eastAsia="zh-CN"/>
              </w:rPr>
            </w:pPr>
            <w:r>
              <w:rPr>
                <w:rFonts w:asciiTheme="minorEastAsia" w:eastAsiaTheme="minorEastAsia" w:hAnsiTheme="minorEastAsia" w:hint="eastAsia"/>
                <w:sz w:val="30"/>
                <w:szCs w:val="30"/>
                <w:lang w:eastAsia="zh-CN"/>
              </w:rPr>
              <w:t>宝安区重点区域大气网格化监测分析及精细化管控服务项目</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包 号：</w:t>
            </w:r>
          </w:p>
        </w:tc>
        <w:tc>
          <w:tcPr>
            <w:tcW w:w="0" w:type="auto"/>
            <w:vAlign w:val="center"/>
          </w:tcPr>
          <w:p>
            <w:pPr>
              <w:rPr>
                <w:rFonts w:asciiTheme="minorEastAsia" w:eastAsiaTheme="minorEastAsia" w:hAnsiTheme="minorEastAsia" w:cs="宋体"/>
                <w:sz w:val="30"/>
                <w:szCs w:val="30"/>
              </w:rPr>
            </w:pPr>
            <w:r>
              <w:rPr>
                <w:rFonts w:asciiTheme="minorEastAsia" w:eastAsiaTheme="minorEastAsia" w:hAnsiTheme="minorEastAsia"/>
                <w:sz w:val="30"/>
                <w:szCs w:val="30"/>
              </w:rPr>
              <w:t>A</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项目类型：</w:t>
            </w:r>
          </w:p>
        </w:tc>
        <w:tc>
          <w:tcPr>
            <w:tcW w:w="0" w:type="auto"/>
            <w:vAlign w:val="center"/>
          </w:tcPr>
          <w:p>
            <w:pPr>
              <w:rPr>
                <w:rFonts w:asciiTheme="minorEastAsia" w:eastAsiaTheme="minorEastAsia" w:hAnsiTheme="minorEastAsia" w:cs="宋体"/>
                <w:sz w:val="30"/>
                <w:szCs w:val="30"/>
              </w:rPr>
            </w:pPr>
            <w:r>
              <w:rPr>
                <w:rFonts w:asciiTheme="minorEastAsia" w:eastAsiaTheme="minorEastAsia" w:hAnsiTheme="minorEastAsia"/>
                <w:sz w:val="30"/>
                <w:szCs w:val="30"/>
              </w:rPr>
              <w:t>服务类</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Theme="minorEastAsia" w:eastAsiaTheme="minorEastAsia" w:hAnsiTheme="minorEastAsia" w:cs="宋体"/>
                <w:sz w:val="30"/>
                <w:szCs w:val="30"/>
              </w:rPr>
            </w:pPr>
            <w:r>
              <w:rPr>
                <w:rFonts w:asciiTheme="minorEastAsia" w:eastAsiaTheme="minorEastAsia" w:hAnsiTheme="minorEastAsia"/>
                <w:sz w:val="30"/>
                <w:szCs w:val="30"/>
              </w:rPr>
              <w:t>采购方式：</w:t>
            </w:r>
          </w:p>
        </w:tc>
        <w:tc>
          <w:tcPr>
            <w:tcW w:w="0" w:type="auto"/>
            <w:vAlign w:val="center"/>
          </w:tcPr>
          <w:p>
            <w:pPr>
              <w:rPr>
                <w:rFonts w:asciiTheme="minorEastAsia" w:eastAsiaTheme="minorEastAsia" w:hAnsiTheme="minorEastAsia" w:cs="宋体"/>
                <w:sz w:val="30"/>
                <w:szCs w:val="30"/>
              </w:rPr>
            </w:pPr>
            <w:r>
              <w:rPr>
                <w:rFonts w:asciiTheme="minorEastAsia" w:eastAsiaTheme="minorEastAsia" w:hAnsiTheme="minorEastAsia"/>
                <w:sz w:val="30"/>
                <w:szCs w:val="30"/>
              </w:rPr>
              <w:t>公开招标</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宋体" w:hAnsi="宋体" w:cs="宋体"/>
                <w:sz w:val="30"/>
                <w:szCs w:val="30"/>
              </w:rPr>
            </w:pPr>
            <w:r>
              <w:rPr>
                <w:sz w:val="30"/>
                <w:szCs w:val="30"/>
              </w:rPr>
              <w:t>货币类型：</w:t>
            </w:r>
          </w:p>
        </w:tc>
        <w:tc>
          <w:tcPr>
            <w:tcW w:w="0" w:type="auto"/>
            <w:vAlign w:val="center"/>
          </w:tcPr>
          <w:p>
            <w:pPr>
              <w:rPr>
                <w:rFonts w:ascii="宋体" w:hAnsi="宋体" w:cs="宋体"/>
                <w:sz w:val="30"/>
                <w:szCs w:val="30"/>
              </w:rPr>
            </w:pPr>
            <w:r>
              <w:rPr>
                <w:sz w:val="30"/>
                <w:szCs w:val="30"/>
              </w:rPr>
              <w:t>人民币</w:t>
            </w:r>
          </w:p>
        </w:tc>
      </w:tr>
      <w:tr>
        <w:tblPrEx>
          <w:tblW w:w="7938" w:type="dxa"/>
          <w:jc w:val="center"/>
          <w:tblCellSpacing w:w="0" w:type="dxa"/>
          <w:tblCellMar>
            <w:top w:w="45" w:type="dxa"/>
            <w:left w:w="45" w:type="dxa"/>
            <w:bottom w:w="45" w:type="dxa"/>
            <w:right w:w="45" w:type="dxa"/>
          </w:tblCellMar>
        </w:tblPrEx>
        <w:trPr>
          <w:trHeight w:val="737"/>
          <w:tblCellSpacing w:w="0" w:type="dxa"/>
          <w:jc w:val="center"/>
        </w:trPr>
        <w:tc>
          <w:tcPr>
            <w:tcW w:w="0" w:type="auto"/>
            <w:vAlign w:val="center"/>
          </w:tcPr>
          <w:p>
            <w:pPr>
              <w:jc w:val="right"/>
              <w:rPr>
                <w:rFonts w:ascii="宋体" w:hAnsi="宋体" w:cs="宋体"/>
                <w:sz w:val="30"/>
                <w:szCs w:val="30"/>
              </w:rPr>
            </w:pPr>
            <w:r>
              <w:rPr>
                <w:sz w:val="30"/>
                <w:szCs w:val="30"/>
              </w:rPr>
              <w:t>评标方法：</w:t>
            </w:r>
          </w:p>
        </w:tc>
        <w:tc>
          <w:tcPr>
            <w:tcW w:w="0" w:type="auto"/>
            <w:vAlign w:val="center"/>
          </w:tcPr>
          <w:p>
            <w:pPr>
              <w:rPr>
                <w:rFonts w:ascii="宋体" w:hAnsi="宋体" w:cs="宋体"/>
                <w:sz w:val="30"/>
                <w:szCs w:val="30"/>
              </w:rPr>
            </w:pPr>
            <w:r>
              <w:rPr>
                <w:sz w:val="30"/>
                <w:szCs w:val="30"/>
              </w:rPr>
              <w:t>综合评分法（新价格分算法）</w:t>
            </w:r>
          </w:p>
        </w:tc>
      </w:tr>
    </w:tbl>
    <w:p>
      <w:pPr>
        <w:pStyle w:val="NormalWeb"/>
        <w:jc w:val="center"/>
        <w:outlineLvl w:val="1"/>
        <w:rPr>
          <w:rFonts w:ascii="黑体" w:eastAsia="黑体" w:hAnsi="黑体"/>
          <w:sz w:val="40"/>
          <w:szCs w:val="40"/>
        </w:rPr>
      </w:pPr>
      <w:r>
        <w:rPr>
          <w:rFonts w:ascii="黑体" w:eastAsia="黑体" w:hAnsi="黑体" w:hint="eastAsia"/>
          <w:sz w:val="40"/>
          <w:szCs w:val="40"/>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投标人具备招标文件所列的资格要求，且提交相应的资格证明资料（详见招标公告</w:t>
            </w:r>
            <w:r>
              <w:rPr>
                <w:rFonts w:ascii="宋体" w:eastAsia="宋体" w:hAnsi="宋体" w:cs="宋体" w:hint="eastAsia"/>
              </w:rPr>
              <w:t>申请人的资格要求</w:t>
            </w:r>
            <w:r>
              <w:rPr>
                <w:rFonts w:ascii="宋体" w:eastAsia="宋体" w:hAnsi="宋体" w:cs="宋体" w:hint="eastAsia"/>
                <w:szCs w:val="21"/>
              </w:rPr>
              <w:t>）</w:t>
            </w:r>
          </w:p>
        </w:tc>
      </w:tr>
    </w:tbl>
    <w:p>
      <w:pPr>
        <w:pStyle w:val="NormalWeb"/>
        <w:spacing w:before="280" w:beforeAutospacing="0"/>
        <w:jc w:val="center"/>
        <w:outlineLvl w:val="1"/>
        <w:rPr>
          <w:rFonts w:ascii="黑体" w:eastAsia="黑体" w:hAnsi="黑体"/>
          <w:sz w:val="40"/>
          <w:szCs w:val="40"/>
        </w:rPr>
      </w:pPr>
      <w:r>
        <w:rPr>
          <w:rFonts w:ascii="黑体" w:eastAsia="黑体" w:hAnsi="黑体" w:hint="eastAsia"/>
          <w:sz w:val="40"/>
          <w:szCs w:val="40"/>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未将一个包或一个标段的内容拆开投标</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2</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对同一项目投标时，未提供两套及以上的投标方案（招标文件另有规定的除外）</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3</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分项报价或投标总价未超过相应预算金额或最高投标限价</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4</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如评标委员会认为投标人的报价明显低于其他通过符合性审查投标人的报价，有可能影响产品质量或者不能诚信履约的，应当要求其在评标现场合理的时间内提供书面说明，必要时提交相关证明材料；投标人应证明其报价合理性（评审委员会成员对投标人提供的说明材料判断不一致的，按照“少数服从多数”的原则确定评审委员会的意见）</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5</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 xml:space="preserve">投标报价满足招标文件报价要求且无缺漏项目 </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6</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投标文件不存在</w:t>
            </w:r>
            <w:r>
              <w:rPr>
                <w:rFonts w:ascii="宋体" w:eastAsia="宋体" w:hAnsi="宋体" w:cs="宋体" w:hint="eastAsia"/>
              </w:rPr>
              <w:t>对招标文件规定的货物或服务或工程量清单的项目或数量进行修改，评标委员会判定投标响应不满足采购需求的情形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7</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所投产品、工程、服务在商务、技术等方面实质性满足招标文件要求（是否实质性满足招标文件要求，由评标委员会根据《实质性条款响应情况表》做出评判）</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8</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按招标文件所提供的样式填写《投标函》；按招标文件所提供的《政府采购投标及履约承诺函》进行承诺；</w:t>
            </w:r>
            <w:r>
              <w:rPr>
                <w:rFonts w:hint="eastAsia"/>
                <w:szCs w:val="21"/>
              </w:rPr>
              <w:t>并</w:t>
            </w:r>
            <w:r>
              <w:rPr>
                <w:szCs w:val="21"/>
              </w:rPr>
              <w:t>按招标文件对投标文件组成的要求提供投标文件（投标文件组成完整）</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9</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投标文件不存在列放位置错误，导致属于信息公开内容没有被公开的情形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10</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1"/>
              </w:rPr>
              <w:t>投标文件不存在电子文档带病毒或使用其他投标人的电子密钥</w:t>
            </w:r>
            <w:r>
              <w:rPr>
                <w:rFonts w:ascii="宋体" w:eastAsia="宋体" w:hAnsi="宋体" w:cs="宋体" w:hint="eastAsia"/>
              </w:rPr>
              <w:t>或电子营业执照</w:t>
            </w:r>
            <w:r>
              <w:rPr>
                <w:rFonts w:ascii="宋体" w:eastAsia="宋体" w:hAnsi="宋体" w:cs="宋体" w:hint="eastAsia"/>
                <w:szCs w:val="21"/>
              </w:rPr>
              <w:t>进行加密的情形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11</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rPr>
              <w:t>不同投标人的投标文件不存在“文件制作机器码”一致或</w:t>
            </w:r>
            <w:r>
              <w:rPr>
                <w:rFonts w:ascii="宋体" w:eastAsia="宋体" w:hAnsi="宋体" w:cs="宋体" w:hint="eastAsia"/>
                <w:szCs w:val="24"/>
              </w:rPr>
              <w:t>“文件创建标识码”一致的情形</w:t>
            </w:r>
          </w:p>
        </w:tc>
      </w:tr>
      <w:tr>
        <w:tblPrEx>
          <w:tblW w:w="9072"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szCs w:val="21"/>
              </w:rPr>
            </w:pPr>
            <w:r>
              <w:rPr>
                <w:rFonts w:ascii="宋体" w:eastAsia="宋体" w:hAnsi="宋体" w:cs="宋体" w:hint="eastAsia"/>
                <w:szCs w:val="21"/>
              </w:rPr>
              <w:t>12</w:t>
            </w:r>
          </w:p>
        </w:tc>
        <w:tc>
          <w:tcPr>
            <w:tcW w:w="0" w:type="auto"/>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szCs w:val="21"/>
              </w:rPr>
            </w:pPr>
            <w:r>
              <w:rPr>
                <w:rFonts w:ascii="宋体" w:eastAsia="宋体" w:hAnsi="宋体" w:cs="宋体" w:hint="eastAsia"/>
                <w:szCs w:val="24"/>
              </w:rPr>
              <w:t>法律、法规、规章、规范性文件规定的其他情形</w:t>
            </w:r>
          </w:p>
        </w:tc>
      </w:tr>
    </w:tbl>
    <w:p>
      <w:pPr>
        <w:spacing w:line="324" w:lineRule="auto"/>
        <w:ind w:firstLine="420"/>
        <w:rPr>
          <w:rFonts w:ascii="Times New Roman" w:hAnsi="Times New Roman"/>
          <w:b/>
          <w:color w:val="FF0000"/>
          <w:szCs w:val="21"/>
        </w:rPr>
      </w:pPr>
      <w:r>
        <w:rPr>
          <w:rFonts w:ascii="Times New Roman" w:hAnsi="Times New Roman" w:hint="eastAsia"/>
          <w:b/>
          <w:color w:val="FF0000"/>
          <w:szCs w:val="21"/>
        </w:rPr>
        <w:t>特别说明：</w:t>
      </w:r>
    </w:p>
    <w:p>
      <w:pPr>
        <w:spacing w:line="324" w:lineRule="auto"/>
        <w:ind w:firstLine="42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1、投标人须在开标当日的开标时间至解密截止时间内完成投标文件在线解密，逾期未解密的作无效处理。</w:t>
      </w:r>
    </w:p>
    <w:p>
      <w:pPr>
        <w:spacing w:line="324" w:lineRule="auto"/>
        <w:ind w:firstLine="420"/>
        <w:rPr>
          <w:rFonts w:asciiTheme="minorEastAsia" w:eastAsiaTheme="minorEastAsia" w:hAnsiTheme="minorEastAsia"/>
          <w:b/>
          <w:color w:val="FF0000"/>
          <w:szCs w:val="21"/>
        </w:rPr>
      </w:pPr>
      <w:r>
        <w:rPr>
          <w:rFonts w:asciiTheme="minorEastAsia" w:eastAsiaTheme="minorEastAsia" w:hAnsiTheme="minorEastAsia" w:hint="eastAsia"/>
          <w:b/>
          <w:color w:val="FF0000"/>
          <w:szCs w:val="21"/>
        </w:rPr>
        <w:t>2、投标人不符合《资格性审查表》或《符合性审查表》中任一情形的，初审不通过，投标无效。</w:t>
      </w:r>
    </w:p>
    <w:p>
      <w:pPr>
        <w:spacing w:line="324" w:lineRule="auto"/>
        <w:ind w:firstLine="420"/>
        <w:rPr>
          <w:rFonts w:asciiTheme="minorEastAsia" w:eastAsiaTheme="minorEastAsia" w:hAnsiTheme="minorEastAsia"/>
          <w:b/>
          <w:color w:val="FF0000"/>
          <w:szCs w:val="21"/>
        </w:rPr>
      </w:pPr>
    </w:p>
    <w:p>
      <w:pPr>
        <w:pStyle w:val="NormalWeb"/>
        <w:jc w:val="center"/>
        <w:outlineLvl w:val="1"/>
        <w:rPr>
          <w:rFonts w:ascii="黑体" w:eastAsia="黑体" w:hAnsi="黑体"/>
          <w:sz w:val="40"/>
          <w:szCs w:val="40"/>
        </w:rPr>
      </w:pPr>
      <w:r>
        <w:rPr>
          <w:rFonts w:ascii="黑体" w:eastAsia="黑体" w:hAnsi="黑体" w:hint="eastAsia"/>
          <w:sz w:val="40"/>
          <w:szCs w:val="40"/>
        </w:rPr>
        <w:t>评标信息</w:t>
      </w:r>
    </w:p>
    <w:tbl>
      <w:tblPr>
        <w:tblStyle w:val="TableNormal"/>
        <w:tblW w:w="9072" w:type="dxa"/>
        <w:jc w:val="center"/>
        <w:tblCellSpacing w:w="0" w:type="dxa"/>
        <w:tblCellMar>
          <w:top w:w="45" w:type="dxa"/>
          <w:left w:w="45" w:type="dxa"/>
          <w:bottom w:w="45" w:type="dxa"/>
          <w:right w:w="45" w:type="dxa"/>
        </w:tblCellMar>
      </w:tblPr>
      <w:tblGrid>
        <w:gridCol w:w="8824"/>
        <w:gridCol w:w="248"/>
      </w:tblGrid>
      <w:tr>
        <w:tblPrEx>
          <w:tblW w:w="9072" w:type="dxa"/>
          <w:jc w:val="center"/>
          <w:tblCellSpacing w:w="0" w:type="dxa"/>
          <w:tblCellMar>
            <w:top w:w="45" w:type="dxa"/>
            <w:left w:w="45" w:type="dxa"/>
            <w:bottom w:w="45" w:type="dxa"/>
            <w:right w:w="45" w:type="dxa"/>
          </w:tblCellMar>
        </w:tblPrEx>
        <w:trPr>
          <w:tblCellSpacing w:w="0" w:type="dxa"/>
          <w:jc w:val="center"/>
        </w:trPr>
        <w:tc>
          <w:tcPr>
            <w:tcW w:w="0" w:type="auto"/>
            <w:tcBorders>
              <w:top w:val="nil"/>
              <w:left w:val="nil"/>
              <w:bottom w:val="nil"/>
              <w:right w:val="nil"/>
            </w:tcBorders>
            <w:vAlign w:val="center"/>
          </w:tcPr>
          <w:p>
            <w:pPr>
              <w:rPr>
                <w:rFonts w:ascii="宋体" w:hAnsi="宋体" w:cs="宋体"/>
                <w:b/>
                <w:bCs/>
                <w:sz w:val="24"/>
                <w:szCs w:val="24"/>
              </w:rPr>
            </w:pPr>
            <w:r>
              <w:rPr>
                <w:b/>
                <w:bCs/>
              </w:rPr>
              <w:t>评标方法：综合评分法（新价格分算法）</w:t>
            </w:r>
          </w:p>
        </w:tc>
        <w:tc>
          <w:tcPr>
            <w:tcW w:w="0" w:type="auto"/>
            <w:tcBorders>
              <w:top w:val="nil"/>
              <w:left w:val="nil"/>
              <w:bottom w:val="nil"/>
              <w:right w:val="nil"/>
            </w:tcBorders>
            <w:vAlign w:val="center"/>
          </w:tcPr>
          <w:p>
            <w:pPr>
              <w:jc w:val="right"/>
              <w:rPr>
                <w:rFonts w:ascii="宋体" w:hAnsi="宋体" w:cs="宋体"/>
                <w:b/>
                <w:bCs/>
                <w:sz w:val="24"/>
                <w:szCs w:val="24"/>
              </w:rPr>
            </w:pPr>
          </w:p>
        </w:tc>
      </w:tr>
      <w:tr>
        <w:tblPrEx>
          <w:tblW w:w="9072" w:type="dxa"/>
          <w:jc w:val="center"/>
          <w:tblCellSpacing w:w="0" w:type="dxa"/>
          <w:tblCellMar>
            <w:top w:w="45" w:type="dxa"/>
            <w:left w:w="45" w:type="dxa"/>
            <w:bottom w:w="45" w:type="dxa"/>
            <w:right w:w="45" w:type="dxa"/>
          </w:tblCellMar>
        </w:tblPrEx>
        <w:trPr>
          <w:tblCellSpacing w:w="0" w:type="dxa"/>
          <w:jc w:val="center"/>
        </w:trPr>
        <w:tc>
          <w:tcPr>
            <w:tcW w:w="0" w:type="auto"/>
            <w:gridSpan w:val="2"/>
            <w:tcBorders>
              <w:top w:val="nil"/>
              <w:left w:val="nil"/>
              <w:bottom w:val="nil"/>
              <w:right w:val="nil"/>
            </w:tcBorders>
            <w:vAlign w:val="center"/>
          </w:tcPr>
          <w:p>
            <w:pPr>
              <w:pStyle w:val="NormalWeb"/>
              <w:spacing w:line="324" w:lineRule="auto"/>
              <w:ind w:firstLine="420"/>
              <w:rPr>
                <w:sz w:val="21"/>
                <w:szCs w:val="21"/>
              </w:rPr>
            </w:pPr>
            <w:r>
              <w:rPr>
                <w:sz w:val="21"/>
                <w:szCs w:val="21"/>
              </w:rPr>
              <w:t>综合评分法，是指</w:t>
            </w:r>
            <w:r>
              <w:rPr>
                <w:rFonts w:hint="eastAsia"/>
                <w:sz w:val="21"/>
                <w:szCs w:val="21"/>
              </w:rPr>
              <w:t>在最大限度地满足招标文件实质性要求的前提下，按照招标文件中规定的各项因素进行综合评审，评标总得分排名前列的投标人，作为推荐的候选中标供应商</w:t>
            </w:r>
            <w:r>
              <w:rPr>
                <w:sz w:val="21"/>
                <w:szCs w:val="21"/>
              </w:rPr>
              <w:t xml:space="preserve">。 </w:t>
            </w:r>
          </w:p>
          <w:p>
            <w:pPr>
              <w:pStyle w:val="NormalWeb"/>
              <w:ind w:firstLine="420"/>
              <w:rPr>
                <w:sz w:val="21"/>
                <w:szCs w:val="21"/>
              </w:rPr>
            </w:pPr>
            <w:r>
              <w:rPr>
                <w:sz w:val="21"/>
                <w:szCs w:val="21"/>
              </w:rPr>
              <w:t>价格分计算方法：</w:t>
            </w:r>
          </w:p>
          <w:p>
            <w:pPr>
              <w:pStyle w:val="NormalWeb"/>
              <w:spacing w:line="324" w:lineRule="auto"/>
              <w:ind w:left="420"/>
              <w:rPr>
                <w:sz w:val="21"/>
                <w:szCs w:val="21"/>
              </w:rPr>
            </w:pPr>
            <w:r>
              <w:rPr>
                <w:sz w:val="21"/>
                <w:szCs w:val="21"/>
              </w:rPr>
              <w:t xml:space="preserve">采用低价优先法计算，即满足招标文件要求且投标价格最低的投标报价为评标基准价，其价格分为满分。其他投标人的价格分统一按照下列公式计算： </w:t>
            </w:r>
            <w:r>
              <w:rPr>
                <w:sz w:val="21"/>
                <w:szCs w:val="21"/>
              </w:rPr>
              <w:br/>
            </w:r>
            <w:r>
              <w:rPr>
                <w:sz w:val="21"/>
                <w:szCs w:val="21"/>
              </w:rPr>
              <w:t xml:space="preserve">投标报价得分=(评标基准价／投标报价)×100 </w:t>
            </w:r>
            <w:r>
              <w:rPr>
                <w:sz w:val="21"/>
                <w:szCs w:val="21"/>
              </w:rPr>
              <w:br/>
            </w:r>
            <w:r>
              <w:rPr>
                <w:sz w:val="21"/>
                <w:szCs w:val="21"/>
              </w:rPr>
              <w:t xml:space="preserve">评标总得分＝F1×A1＋F2×A2＋……＋Fn×An </w:t>
            </w:r>
            <w:r>
              <w:rPr>
                <w:sz w:val="21"/>
                <w:szCs w:val="21"/>
              </w:rPr>
              <w:br/>
            </w:r>
            <w:r>
              <w:rPr>
                <w:sz w:val="21"/>
                <w:szCs w:val="21"/>
              </w:rPr>
              <w:t xml:space="preserve">F1、F2……Fn分别为各项评审因素的得分； </w:t>
            </w:r>
            <w:r>
              <w:rPr>
                <w:sz w:val="21"/>
                <w:szCs w:val="21"/>
              </w:rPr>
              <w:br/>
            </w:r>
            <w:r>
              <w:rPr>
                <w:sz w:val="21"/>
                <w:szCs w:val="21"/>
              </w:rPr>
              <w:t xml:space="preserve">A1、A2、……An 分别为各项评审因素所占的权重(A1＋A2＋……＋An＝1)。 </w:t>
            </w:r>
            <w:r>
              <w:rPr>
                <w:sz w:val="21"/>
                <w:szCs w:val="21"/>
              </w:rPr>
              <w:br/>
            </w:r>
            <w:r>
              <w:rPr>
                <w:sz w:val="21"/>
                <w:szCs w:val="21"/>
              </w:rPr>
              <w:t xml:space="preserve">评标过程中，不得去掉报价中的最高报价和最低报价。 </w:t>
            </w:r>
            <w:r>
              <w:rPr>
                <w:sz w:val="21"/>
                <w:szCs w:val="21"/>
              </w:rPr>
              <w:br/>
            </w:r>
            <w:r>
              <w:rPr>
                <w:rFonts w:hint="eastAsia"/>
                <w:sz w:val="21"/>
                <w:szCs w:val="21"/>
              </w:rPr>
              <w:t>因落实政府采购政策进行价格调整的，以调整后的价格计算评标基准价和投标报价</w:t>
            </w:r>
            <w:r>
              <w:rPr>
                <w:sz w:val="21"/>
                <w:szCs w:val="21"/>
              </w:rPr>
              <w:t xml:space="preserve">。 </w:t>
            </w:r>
          </w:p>
        </w:tc>
      </w:tr>
    </w:tbl>
    <w:p>
      <w:pPr>
        <w:rPr>
          <w:vanish/>
        </w:rPr>
      </w:pPr>
    </w:p>
    <w:tbl>
      <w:tblPr>
        <w:tblStyle w:val="TableNormal"/>
        <w:tblW w:w="96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680"/>
        <w:gridCol w:w="680"/>
        <w:gridCol w:w="2835"/>
        <w:gridCol w:w="681"/>
        <w:gridCol w:w="4763"/>
      </w:tblGrid>
      <w:tr>
        <w:tblPrEx>
          <w:tblW w:w="963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b/>
                <w:bCs/>
                <w:sz w:val="24"/>
                <w:szCs w:val="24"/>
              </w:rPr>
            </w:pPr>
            <w:r>
              <w:rPr>
                <w:rFonts w:asciiTheme="minorEastAsia" w:eastAsiaTheme="minorEastAsia" w:hAnsiTheme="minorEastAsia"/>
                <w:b/>
                <w:bCs/>
              </w:rPr>
              <w:t>序号</w:t>
            </w:r>
          </w:p>
        </w:tc>
        <w:tc>
          <w:tcPr>
            <w:tcW w:w="4196"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b/>
                <w:bCs/>
                <w:sz w:val="24"/>
                <w:szCs w:val="24"/>
              </w:rPr>
            </w:pPr>
            <w:r>
              <w:rPr>
                <w:rFonts w:asciiTheme="minorEastAsia" w:eastAsiaTheme="minorEastAsia" w:hAnsiTheme="minorEastAsia"/>
                <w:b/>
                <w:bCs/>
              </w:rPr>
              <w:t>评分项</w:t>
            </w:r>
          </w:p>
        </w:tc>
        <w:tc>
          <w:tcPr>
            <w:tcW w:w="4763" w:type="dxa"/>
            <w:tcBorders>
              <w:top w:val="single" w:sz="8" w:space="0" w:color="000000"/>
              <w:left w:val="single" w:sz="8" w:space="0" w:color="000000"/>
              <w:bottom w:val="single" w:sz="8" w:space="0" w:color="000000"/>
              <w:right w:val="single" w:sz="8" w:space="0" w:color="000000"/>
            </w:tcBorders>
            <w:shd w:val="clear" w:color="auto" w:fill="E6EFFA"/>
            <w:vAlign w:val="center"/>
          </w:tcPr>
          <w:p>
            <w:pPr>
              <w:spacing w:line="360" w:lineRule="exact"/>
              <w:jc w:val="center"/>
              <w:rPr>
                <w:rFonts w:asciiTheme="minorEastAsia" w:eastAsiaTheme="minorEastAsia" w:hAnsiTheme="minorEastAsia" w:cs="宋体"/>
                <w:b/>
                <w:bCs/>
                <w:sz w:val="24"/>
                <w:szCs w:val="24"/>
              </w:rPr>
            </w:pPr>
            <w:r>
              <w:rPr>
                <w:rFonts w:asciiTheme="minorEastAsia" w:eastAsiaTheme="minorEastAsia" w:hAnsiTheme="minorEastAsia"/>
                <w:b/>
                <w:bCs/>
              </w:rPr>
              <w:t>权重(%)</w:t>
            </w:r>
          </w:p>
        </w:tc>
      </w:tr>
      <w:tr>
        <w:tblPrEx>
          <w:tblW w:w="9639" w:type="dxa"/>
          <w:jc w:val="center"/>
          <w:tblCellMar>
            <w:top w:w="20" w:type="dxa"/>
            <w:left w:w="108" w:type="dxa"/>
            <w:bottom w:w="20" w:type="dxa"/>
            <w:right w:w="108" w:type="dxa"/>
          </w:tblCellMar>
        </w:tblPrEx>
        <w:trPr>
          <w:jc w:val="center"/>
        </w:trPr>
        <w:tc>
          <w:tcPr>
            <w:tcW w:w="680" w:type="dxa"/>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1</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价格</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10</w:t>
            </w:r>
          </w:p>
        </w:tc>
      </w:tr>
      <w:tr>
        <w:tblPrEx>
          <w:tblW w:w="9639" w:type="dxa"/>
          <w:jc w:val="center"/>
          <w:tblCellMar>
            <w:top w:w="20" w:type="dxa"/>
            <w:left w:w="108" w:type="dxa"/>
            <w:bottom w:w="20" w:type="dxa"/>
            <w:right w:w="108" w:type="dxa"/>
          </w:tblCellMar>
        </w:tblPrEx>
        <w:trPr>
          <w:jc w:val="center"/>
        </w:trPr>
        <w:tc>
          <w:tcPr>
            <w:tcW w:w="680"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2</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技术</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42</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序号</w:t>
            </w:r>
          </w:p>
        </w:tc>
        <w:tc>
          <w:tcPr>
            <w:tcW w:w="283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评分因素</w:t>
            </w:r>
          </w:p>
        </w:tc>
        <w:tc>
          <w:tcPr>
            <w:tcW w:w="681"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权重(%)</w:t>
            </w:r>
          </w:p>
        </w:tc>
        <w:tc>
          <w:tcPr>
            <w:tcW w:w="4763"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1</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实施方案</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评审内容：根据投标人提供的实施方案进行评分。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考察点A：实施方案有工作背景，且包括：对上级政策文件的解读、对本项目工作要求的分析；</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考察点B：实施方案有工作内容，且包括：重点道路抑尘保湿AI智能管控服务、重点道路泥头车AI智能管控服务、重点场站扬尘AI智能管控服务、街道精细化帮扶服务；</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考察点C：实施方案有工作目标、工作方法。</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考察点A、B、C三点，满足三点得80分，满足任意两点得50分，满足任意一点得20分，未满足不得分。在此基础上，评委根据各供应商的具体响应内容按照以下的评审因素指标进一步评审。</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1.评审为优（工作背景掌握全面、工作内容详细、工作目标合理、工作方法可行性高）的加20分；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2.评审为良（工作背景掌握比较全面、工作内容比较详细、工作目标比较合理、工作方法可行性比较高）的加10分；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3.评审为中（工作背景掌握不够全面、工作内容不够详细、工作目标不够合理、工作方法可行性一般）的加5分；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4.评审为差（工作背景掌握不全面、工作内容不详细、工作目标不合理、工作方法不可行）的不加分。</w:t>
            </w:r>
          </w:p>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2</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宋体" w:hAnsi="宋体" w:hint="eastAsia"/>
                <w:szCs w:val="21"/>
              </w:rPr>
              <w:t>项目重点难点分析、应对措施及相关的合理化建议</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9</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评审内容：根据投标人提供的项目重点难点分析、应对措施及相关的合理化建议进行评分。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考察点A：项目重点、难点分析。</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考察点B：项目重点、难点的应对措施。</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考察点C：相关的合理化建议。</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考察点A、B、C三点，满足三点得80分，满足任意两点得50分，满足任意一点得20分，未满足不得分。在此基础上，评委根据各供应商的具体响应内容按照以下的评审因素指标进一步评审。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1.评审为优（重点难点分析全面、提出的应对措施科学合理、相关建议符合实际、可行性高）的加20分；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2.评审为良（重点难点分析比较全面、提出的应对措施比较合理、相关建议比较符合实际、可行性比较高）的加10分；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3.评审为中（重点难点分析不够全面、提出的应对措施不够合理、相关建议不够符合实际、可行性一般）的加5分；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4.评审为差（重点难点分析不全面、提出的应对措施不合理、相关建议不符合实际、无可行性）的不加分。</w:t>
            </w:r>
          </w:p>
          <w:p>
            <w:pPr>
              <w:spacing w:line="360" w:lineRule="exact"/>
              <w:rPr>
                <w:rFonts w:asciiTheme="minorEastAsia" w:eastAsiaTheme="minorEastAsia" w:hAnsiTheme="minorEastAsia" w:cs="宋体"/>
                <w:szCs w:val="21"/>
              </w:rPr>
            </w:pPr>
            <w:r>
              <w:rPr>
                <w:rFonts w:asciiTheme="minorEastAsia" w:eastAsiaTheme="minorEastAsia" w:hAnsiTheme="minorEastAsia" w:hint="eastAsia"/>
                <w:szCs w:val="21"/>
              </w:rPr>
              <w:t>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3</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质量（完成时间、安全、环保）保障措施及方案</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8</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评审内容：根据投标人提供的质量（完成时间、安全、环保）保障措施及方案进行评分。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考察点A：项目时间保障措施及方案。</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考察点B：项目安全及环保保障措施及方案；</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考察点C：项目保密保障措施及方案。</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考察点A、B、C三点，满足三点得80分，满足任意两点得50分，满足任意一点得20分，未满足不得分。在此基础上，评委根据各供应商的具体响应内容按照以下的评审因素指标进一步评审。</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1.评审为优（保障措施及方案科学合理、与项目相关性强）的加20分；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2.评审为良（保障措施及方案比较合理、与项目相关性比较强）的加10分；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3.评审为中（保障措施及方案不够合理、与项目相关性一般）的加5分；</w:t>
            </w:r>
          </w:p>
          <w:p>
            <w:pPr>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4.评审为差（保障措施及方案不合理、与项目不相关）的不加分。</w:t>
            </w:r>
          </w:p>
          <w:p>
            <w:pPr>
              <w:spacing w:line="360" w:lineRule="exact"/>
              <w:rPr>
                <w:rFonts w:asciiTheme="minorEastAsia" w:eastAsiaTheme="minorEastAsia" w:hAnsiTheme="minorEastAsia" w:cs="宋体"/>
                <w:szCs w:val="21"/>
              </w:rPr>
            </w:pPr>
            <w:r>
              <w:rPr>
                <w:rFonts w:asciiTheme="minorEastAsia" w:eastAsiaTheme="minorEastAsia" w:hAnsiTheme="minorEastAsia" w:hint="eastAsia"/>
                <w:szCs w:val="21"/>
              </w:rPr>
              <w:t>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4</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项目完成（服务期满）后的服务承诺</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评审内容：根据投标人提供的项目完成（服务期满）后的服务承诺进行评分。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考察点A：项目完成后服务人员信息与联系方式。</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考察点B：项目完成后服务期限。</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考察点C：项目完成后服务内容与响应时间。</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考察点A、B、C三点，满足三点得80分，满足任意两点得50分，满足任意一点得20分，未满足不得分。在此基础上，评委根据各供应商的具体响应内容按照以下的评审因素指标进一步评审。</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1.评审为优（项目完成后服务内容全面、有与采购人或后续服务公司进行交接的承诺且交接方式合理）的加20分；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2.评审为良（项目完成后服务内容比较全面、有与采购人或后续服务公司进行交接的承诺且交接方式比较合理）的加10分；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3.评审为中（项目完成后服务内容不够全面、有与采购人或后续服务公司进行交接的承诺但交接方式不够合理）的加5分；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4.评审为差（项目完成后服务内容不全面、没有与采购人或后续服务公司进行交接的承诺或有承诺但交接方式不合理）的不加分。</w:t>
            </w:r>
          </w:p>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bottom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5</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违约承诺</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评审内容：根据投标人提供的违约承诺进行评分。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考察点A：发生质量不合格时的违约承诺。</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考察点B：出现服务期限延误时的违约承诺。</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考察点C：人员、设备未按照招标文件及投标承诺配置的违约承诺。</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考察点A、B、C三点，满足三点得80分，满足任意两点得50分，满足任意一点得20分，未满足不得分。在此基础上，评委根据各供应商的具体响应内容按照以下的评审因素指标进一步评审。</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1.评审为优（违约承诺科学合理，可操作性强，有具体可行的违约处罚机制）的加20分；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2.评审为良（违约承诺比较科学合理，可操作性比较强，有比较具体可行的违约处罚机制）的加10分；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3.评审为中（违约承诺不够科学合理，可操作性不够强，违约处罚机制不够具体可行）的加5分；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4.评审为差（违约承诺不科学合理，不具有可操作性，没有违约处罚机制）的不加分。</w:t>
            </w:r>
          </w:p>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如果评审为差，要求评委书面说明理由，并记录在档。</w:t>
            </w:r>
          </w:p>
        </w:tc>
      </w:tr>
      <w:tr>
        <w:tblPrEx>
          <w:tblW w:w="9639" w:type="dxa"/>
          <w:jc w:val="center"/>
          <w:tblCellMar>
            <w:top w:w="20" w:type="dxa"/>
            <w:left w:w="108" w:type="dxa"/>
            <w:bottom w:w="20" w:type="dxa"/>
            <w:right w:w="108" w:type="dxa"/>
          </w:tblCellMar>
        </w:tblPrEx>
        <w:trPr>
          <w:jc w:val="center"/>
        </w:trPr>
        <w:tc>
          <w:tcPr>
            <w:tcW w:w="680"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3</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b/>
                <w:bCs/>
                <w:color w:val="0000FF"/>
              </w:rPr>
              <w:t>商务</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43</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序号</w:t>
            </w:r>
          </w:p>
        </w:tc>
        <w:tc>
          <w:tcPr>
            <w:tcW w:w="283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评分因素</w:t>
            </w:r>
          </w:p>
        </w:tc>
        <w:tc>
          <w:tcPr>
            <w:tcW w:w="681"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权重(%)</w:t>
            </w:r>
          </w:p>
        </w:tc>
        <w:tc>
          <w:tcPr>
            <w:tcW w:w="4763"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trHeight w:val="685"/>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1</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投标人同类项目业绩情况</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10</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（一）评分内容：</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本项目投标截止之日前（以合同签订日期为准），投标人承担过国家机关、事业单位或团体组织委托的：</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1.大气环境质量管控服务类项目的，每提供1个得25分。本小项最高得25分；</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2.大气污染减排服务类项目的，每提供1个得25分。本小项最高得25分；</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3.扬尘AI智能管控类项目的，每提供1个得25分。本小项最高得25分；</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4.道路湿润度AI智能识别类项目的，每提供1个得25分。本小项最高得25分。</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同一项目续签合同的不可重复得分，同一项目合同同时满足上述多项要求的不得重复计分，以得分最优计分，以上累加得分，最高得100分。</w:t>
            </w:r>
          </w:p>
          <w:p>
            <w:pPr>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（二）评分依据：</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1.要求提供合同关键信息（含签订合同双方的单位名称、合同项目名称、服务内容、签订合同双方的落款盖章、签订日期）作为得分依据。</w:t>
            </w:r>
          </w:p>
          <w:p>
            <w:pPr>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2.通过合同关键信息无法判断是否得分的，还须同时提供能证明得分的其他证明资料，如合同甲方出具的证明文件等。</w:t>
            </w:r>
          </w:p>
          <w:p>
            <w:pPr>
              <w:spacing w:line="36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3.以上资料均要求提供扫描件，原件备查。评分中出现无证明资料或专家无法凭所提供资料判断是否得分的情况，一律作不得分处理。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trHeight w:val="794"/>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hint="eastAsia"/>
                <w:szCs w:val="21"/>
                <w:lang w:val="en-US" w:eastAsia="zh-CN"/>
              </w:rPr>
            </w:pPr>
            <w:r>
              <w:rPr>
                <w:rFonts w:asciiTheme="minorEastAsia" w:eastAsiaTheme="minorEastAsia" w:hAnsiTheme="minorEastAsia" w:hint="eastAsia"/>
                <w:szCs w:val="21"/>
                <w:lang w:val="en-US" w:eastAsia="zh-CN"/>
              </w:rPr>
              <w:t>2</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szCs w:val="21"/>
              </w:rPr>
            </w:pPr>
            <w:r>
              <w:rPr>
                <w:rFonts w:ascii="宋体" w:hAnsi="宋体" w:hint="eastAsia"/>
                <w:szCs w:val="21"/>
              </w:rPr>
              <w:t>履约评价</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lang w:val="en-US" w:eastAsia="zh-CN"/>
              </w:rPr>
            </w:pPr>
            <w:r>
              <w:rPr>
                <w:rFonts w:asciiTheme="minorEastAsia" w:eastAsiaTheme="minorEastAsia" w:hAnsiTheme="minorEastAsia" w:cs="宋体" w:hint="eastAsia"/>
                <w:szCs w:val="21"/>
                <w:lang w:val="en-US" w:eastAsia="zh-CN"/>
              </w:rPr>
              <w:t>3</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（一）评分内容：</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本项目投标截止之日前（以合同签订日期为准）：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基于以上“投标人同类项目业绩情况”，项目的履约评价结果为优或满意或评价证明中最高等级或评价得分在90分（或达到90%分值）及以上的，每提供1个得100分，最高得100分。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（二）评分依据：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要求投标人提供加盖合同甲方公章或甲方业务章的履约评价证明材料扫描件，未按要求提供有效证明材料或提供不清晰导致评委无法识别的不得分。</w:t>
            </w:r>
          </w:p>
        </w:tc>
      </w:tr>
      <w:tr>
        <w:tblPrEx>
          <w:tblW w:w="9639" w:type="dxa"/>
          <w:jc w:val="center"/>
          <w:tblCellMar>
            <w:top w:w="20" w:type="dxa"/>
            <w:left w:w="108" w:type="dxa"/>
            <w:bottom w:w="20" w:type="dxa"/>
            <w:right w:w="108" w:type="dxa"/>
          </w:tblCellMar>
        </w:tblPrEx>
        <w:trPr>
          <w:trHeight w:val="794"/>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lang w:eastAsia="zh-CN"/>
              </w:rPr>
            </w:pPr>
            <w:r>
              <w:rPr>
                <w:rFonts w:asciiTheme="minorEastAsia" w:eastAsiaTheme="minorEastAsia" w:hAnsiTheme="minorEastAsia" w:hint="eastAsia"/>
                <w:szCs w:val="21"/>
                <w:lang w:val="en-US" w:eastAsia="zh-CN"/>
              </w:rPr>
              <w:t>3</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拟安排的项目负责人情况（仅限一人）</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8</w:t>
            </w:r>
          </w:p>
        </w:tc>
        <w:tc>
          <w:tcPr>
            <w:tcW w:w="4763" w:type="dxa"/>
            <w:tcBorders>
              <w:top w:val="single" w:sz="8" w:space="0" w:color="000000"/>
              <w:left w:val="single" w:sz="8" w:space="0" w:color="000000"/>
              <w:bottom w:val="single" w:sz="8" w:space="0" w:color="000000"/>
              <w:right w:val="single" w:sz="8" w:space="0" w:color="000000"/>
            </w:tcBorders>
          </w:tcPr>
          <w:p>
            <w:pPr>
              <w:numPr>
                <w:ilvl w:val="0"/>
                <w:numId w:val="1"/>
              </w:numPr>
              <w:spacing w:line="360" w:lineRule="exac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评分内容：</w:t>
            </w:r>
          </w:p>
          <w:p>
            <w:pPr>
              <w:numPr>
                <w:ilvl w:val="0"/>
                <w:numId w:val="0"/>
              </w:num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拟安排的项目负责人须为投标人自有员工：</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1.具有生态环境类专业博士学位的，得30分；具有生态环境类专业硕士学位的，得15分；其他不得分。本小项最高得30分；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2.具有生态环境类相关专业正高级（或教授级）职称的，得30分；具有生态环境类相关专业副高级职称的，得15分；其他不得分。本小项最高得30分；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3.以往参与过的生态环境类项目获得国家机关或事业单位颁发的奖项或表彰的，每提供1个得10分，本小项最高得20分；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4.本项目投标截止之日前（以合同签订日期为准），作为项目负责人参与过国家机关、事业单位或团体组织委托的大气环境质量管控服务类项目、或大气污染强化减排服务类项目、或扬尘AI智能管控类项目、或道路湿润度AI智能识别类项目的，每提供1个得10分。同一项目合同同时满足上述多项要求的不得重复计分。本小项最高得20分。</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以上累加得分，最高得100分。</w:t>
            </w:r>
          </w:p>
          <w:p>
            <w:pPr>
              <w:spacing w:line="360" w:lineRule="exac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（二）评分依据：</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要求提供拟安排的项目负责人相关证明资料作为得分依据。其中，学历证明须提供学位证书以及学信网查询记录，对于学信网无法查询的，还需提供毕业院校或人社部门或教育部门等颁发机构或监管机构出具的证明，否则无效。</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2.投标人须提供由社保部门或税务部门出具的开标日前一个月（如开标日上一个月的社保材料因社保部门或税务部门原因暂时无法取得，则可以往前顺延一个月）投标人为上述人员缴纳的个人社保清单（加盖社保部门或税务部门公章）。新企业成立不足一个月的，提供相关证明亦可；如依法不需要缴纳社会保险的，应提供相应文件证明；如相关人员为退休后返聘则需提供退休证明和聘用合同。若因为社保部门或税务部门原因无法提供的，需提供劳动合同及社保部门或税务部门官方通知证明（或官网公告截图）。</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3.如涉及考察人员工作经验，要求提供项目合同关键信息作为得分依据，通过合同关键信息无法判断是否得分的，还须同时提供合同甲方出具的证明文件。</w:t>
            </w:r>
          </w:p>
          <w:p>
            <w:pPr>
              <w:spacing w:line="360" w:lineRule="exact"/>
              <w:rPr>
                <w:rFonts w:asciiTheme="minorEastAsia" w:eastAsiaTheme="minorEastAsia" w:hAnsiTheme="minorEastAsia" w:cs="宋体" w:hint="eastAsia"/>
                <w:szCs w:val="21"/>
              </w:rPr>
            </w:pPr>
            <w:r>
              <w:rPr>
                <w:rFonts w:asciiTheme="minorEastAsia" w:eastAsiaTheme="minorEastAsia" w:hAnsiTheme="minorEastAsia" w:cs="宋体" w:hint="eastAsia"/>
                <w:szCs w:val="21"/>
              </w:rPr>
              <w:t>4.如证书颁发单位为相关行业协会（或学会）的，则需同时提供证书颁发单位在“中国社会组织政务服务平台”或“中国国家认证认可监督管理委员会”或“职业技能等级评价机构公示查询系统”等合法查询渠道的信息查询截图（截图需显示发证单位状态为正常），或该协会(学会)由政府部门或行政事业单位审批（备案）的证明文件复印件。如为《中华人民共和国境外非政府组织境内活动管理法》规定的“离岸社团”“山寨社团”，《取缔非法民间组织暂行办法》（民政部令第21号）规定的“非法社会组织”颁发的证书或出具的报告，均不得分。</w:t>
            </w:r>
          </w:p>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5.以上资料均要求提供扫描件（或官方网站截图），原件备查。评分中出现无证明资料或专家无法凭所提供资料判断是否得分的情况，一律作不得分处理。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lang w:eastAsia="zh-CN"/>
              </w:rPr>
            </w:pPr>
            <w:r>
              <w:rPr>
                <w:rFonts w:asciiTheme="minorEastAsia" w:eastAsiaTheme="minorEastAsia" w:hAnsiTheme="minorEastAsia" w:hint="eastAsia"/>
                <w:szCs w:val="21"/>
                <w:lang w:val="en-US" w:eastAsia="zh-CN"/>
              </w:rPr>
              <w:t>4</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拟安排的项目主要团队成员（主要技术人员）情况（项目负责人除外）</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9</w:t>
            </w:r>
          </w:p>
        </w:tc>
        <w:tc>
          <w:tcPr>
            <w:tcW w:w="4763" w:type="dxa"/>
            <w:tcBorders>
              <w:top w:val="single" w:sz="8" w:space="0" w:color="000000"/>
              <w:left w:val="single" w:sz="8" w:space="0" w:color="000000"/>
              <w:bottom w:val="single" w:sz="8" w:space="0" w:color="000000"/>
              <w:right w:val="single" w:sz="8" w:space="0" w:color="000000"/>
            </w:tcBorders>
          </w:tcPr>
          <w:p>
            <w:pPr>
              <w:numPr>
                <w:ilvl w:val="0"/>
                <w:numId w:val="2"/>
              </w:numPr>
              <w:autoSpaceDE w:val="0"/>
              <w:autoSpaceDN w:val="0"/>
              <w:adjustRightInd w:val="0"/>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评分内容：</w:t>
            </w:r>
          </w:p>
          <w:p>
            <w:pPr>
              <w:numPr>
                <w:ilvl w:val="0"/>
                <w:numId w:val="0"/>
              </w:num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拟安排的项目主要团队成员（主要技术人员）须为投标人自有员工：</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1.具有生态环境类相关专业职称的，每提供1个副高级（或以上）职称的得10分，最高得60分；具有生态环境类相关专业职称的，每提供1个中级职称的得5分，最高得10分；本小项最高得60分；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2.具有环境影响评价工程师职业资格证书的，每提供1人得15分，最高得30分；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3.参与过国家机关、事业单位或团体组织委托的大气环境质量管控服务类项目、或大气污染强化减排服务类项目、或扬尘AI智能管控类项目、或道路湿润度AI智能识别类项目的，每提供1人得10分，最高得10分。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同一人员同时满足多项不得重复计分，以上累加最高得100分。</w:t>
            </w:r>
          </w:p>
          <w:p>
            <w:pPr>
              <w:autoSpaceDE w:val="0"/>
              <w:autoSpaceDN w:val="0"/>
              <w:adjustRightInd w:val="0"/>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（二）评分依据：</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1.要求提供拟安排的项目主要团队成员相关证明资料作为得分依据。</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2.投标人须提供由社保部门或税务部门出具的开标日前一个月（如开标日上一个月的社保材料因社保部门或税务部门原因暂时无法取得，则可以往前顺延一个月）投标人为上述人员缴纳的个人社保清单（加盖社保部门或税务部门公章）。新企业成立不足一个月的，提供相关证明亦可；如依法不需要缴纳社会保险的，应提供相应文件证明；如相关人员为退休后返聘则需提供退休证明和聘用合同。若因为社保部门或税务部门原因无法提供的，需提供劳动合同及社保部门或税务部门官方通知证明（或官网公告截图）。</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3.如涉及考察人员工作经验，要求提供项目合同关键信息作为得分依据，通过合同关键信息无法判断是否得分的，还须同时提供合同甲方出具的证明文件。</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4.如证书颁发单位为相关行业协会（或学会）的，则需同时提供证书颁发单位在“中国社会组织政务服务平台”或“中国国家认证认可监督管理委员会”或“职业技能等级评价机构公示查询系统”等合法查询渠道的信息查询截图（截图需显示发证单位状态为正常），或该协会(学会)由政府部门或行政事业单位审批（备案）的证明文件复印件。如为《中华人民共和国境外非政府组织境内活动管理法》规定的“离岸社团”“山寨社团”，《取缔非法民间组织暂行办法》（民政部令第21号）规定的“非法社会组织”颁发的证书或出具的报告，均不得分。</w:t>
            </w:r>
          </w:p>
          <w:p>
            <w:pPr>
              <w:autoSpaceDE w:val="0"/>
              <w:autoSpaceDN w:val="0"/>
              <w:adjustRightInd w:val="0"/>
              <w:spacing w:line="36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rPr>
              <w:t>5.以上资料均要求提供扫描件（或官方网站截图），原件备查。评分中出现无证明资料或专家无法凭所提供资料判断是否得分的情况，一律作不得分处理。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lang w:eastAsia="zh-CN"/>
              </w:rPr>
            </w:pPr>
            <w:r>
              <w:rPr>
                <w:rFonts w:asciiTheme="minorEastAsia" w:eastAsiaTheme="minorEastAsia" w:hAnsiTheme="minorEastAsia" w:hint="eastAsia"/>
                <w:szCs w:val="21"/>
                <w:lang w:val="en-US" w:eastAsia="zh-CN"/>
              </w:rPr>
              <w:t>5</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投标人自主知识产权产品（创新、设计）情况</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宋体" w:hAnsi="宋体" w:hint="eastAsia"/>
                <w:color w:val="000000"/>
                <w:szCs w:val="21"/>
              </w:rPr>
              <w:t>11</w:t>
            </w:r>
          </w:p>
        </w:tc>
        <w:tc>
          <w:tcPr>
            <w:tcW w:w="4763" w:type="dxa"/>
            <w:tcBorders>
              <w:top w:val="single" w:sz="8" w:space="0" w:color="000000"/>
              <w:left w:val="single" w:sz="8" w:space="0" w:color="000000"/>
              <w:bottom w:val="single" w:sz="8" w:space="0" w:color="000000"/>
              <w:right w:val="single" w:sz="8" w:space="0" w:color="000000"/>
            </w:tcBorders>
          </w:tcPr>
          <w:p>
            <w:pPr>
              <w:autoSpaceDE w:val="0"/>
              <w:autoSpaceDN w:val="0"/>
              <w:adjustRightInd w:val="0"/>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（一）评分内容：</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1.投标人具有无人机巡航监测类软件著作权登记证书的，每提供1项得20分，本小项最高得20分；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2.投标人具有扬尘智能识别类软件著作权登记证书的，每提供1项得20分，本小项最高得20分；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3.投标人具有雾炮洒水车指挥调度类软件著作权登记证书的，每提供1项得20分，本小项最高得20分；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4.投标人具有空气子站高空全景瞭望类软件著作权登记证书的，每提供1项得20分，本小项最高得20分；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5.投标人具有道路湿润度智能识别类软件著作权登记证书的，每提供1项得20分，本小项最高得20分。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以上累加得分，最高得100分。</w:t>
            </w:r>
          </w:p>
          <w:p>
            <w:pPr>
              <w:autoSpaceDE w:val="0"/>
              <w:autoSpaceDN w:val="0"/>
              <w:adjustRightInd w:val="0"/>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（二）评分依据：</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要求提供投标人合法使用产权（专利或软件著作权）的证明材料。投标人自有产权（专利或软件著作权）的，提供投标人作为知识产权人的产权（专利或软件著作权）证书；通过租赁或授权等方式取得的第三方知识产权合法使用权的，提供与第三方签订的租赁协议或授权证明以及第三方的知识产权证明材料作为得分依据。</w:t>
            </w:r>
          </w:p>
          <w:p>
            <w:pPr>
              <w:autoSpaceDE w:val="0"/>
              <w:autoSpaceDN w:val="0"/>
              <w:adjustRightInd w:val="0"/>
              <w:spacing w:line="360" w:lineRule="exact"/>
              <w:jc w:val="left"/>
              <w:rPr>
                <w:rFonts w:asciiTheme="minorEastAsia" w:eastAsiaTheme="minorEastAsia" w:hAnsiTheme="minorEastAsia"/>
                <w:szCs w:val="21"/>
              </w:rPr>
            </w:pPr>
            <w:r>
              <w:rPr>
                <w:rFonts w:asciiTheme="minorEastAsia" w:eastAsiaTheme="minorEastAsia" w:hAnsiTheme="minorEastAsia" w:cs="宋体" w:hint="eastAsia"/>
                <w:szCs w:val="21"/>
              </w:rPr>
              <w:t>2.以上资料均要求提供扫描件（或官方网站截图），原件备查。评分中出现无证明资料或专家无法凭所提供资料判断是否得分的情况，一律作不得分处理。</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hint="eastAsia"/>
                <w:szCs w:val="21"/>
                <w:lang w:eastAsia="zh-CN"/>
              </w:rPr>
            </w:pPr>
            <w:r>
              <w:rPr>
                <w:rFonts w:asciiTheme="minorEastAsia" w:eastAsiaTheme="minorEastAsia" w:hAnsiTheme="minorEastAsia" w:hint="eastAsia"/>
                <w:szCs w:val="21"/>
                <w:lang w:val="en-US" w:eastAsia="zh-CN"/>
              </w:rPr>
              <w:t>6</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cs="宋体" w:hint="eastAsia"/>
                <w:szCs w:val="21"/>
              </w:rPr>
              <w:t>服务响应时间</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cs="宋体" w:hint="eastAsia"/>
                <w:szCs w:val="21"/>
              </w:rPr>
              <w:t>2</w:t>
            </w:r>
          </w:p>
        </w:tc>
        <w:tc>
          <w:tcPr>
            <w:tcW w:w="4763" w:type="dxa"/>
            <w:tcBorders>
              <w:top w:val="single" w:sz="8" w:space="0" w:color="000000"/>
              <w:left w:val="single" w:sz="8" w:space="0" w:color="000000"/>
              <w:bottom w:val="single" w:sz="8" w:space="0" w:color="000000"/>
              <w:right w:val="single" w:sz="8" w:space="0" w:color="000000"/>
            </w:tcBorders>
          </w:tcPr>
          <w:p>
            <w:pPr>
              <w:autoSpaceDE w:val="0"/>
              <w:autoSpaceDN w:val="0"/>
              <w:adjustRightInd w:val="0"/>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（一）评分内容：</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1.投标人接到采购人通知2小时（含）内提供服务，得100分；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2.投标人接到采购人通知2小时（不含）至6小时（含）提供服务，得50分；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3.投标人接到采购人通知6小时（不含）至12小时（含）提供服务，得25分。</w:t>
            </w:r>
          </w:p>
          <w:p>
            <w:pPr>
              <w:autoSpaceDE w:val="0"/>
              <w:autoSpaceDN w:val="0"/>
              <w:adjustRightInd w:val="0"/>
              <w:spacing w:line="36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4.其他情况，不得分。</w:t>
            </w:r>
          </w:p>
          <w:p>
            <w:pPr>
              <w:autoSpaceDE w:val="0"/>
              <w:autoSpaceDN w:val="0"/>
              <w:adjustRightInd w:val="0"/>
              <w:spacing w:line="360" w:lineRule="exact"/>
              <w:jc w:val="left"/>
              <w:rPr>
                <w:rFonts w:asciiTheme="minorEastAsia" w:eastAsiaTheme="minorEastAsia" w:hAnsiTheme="minorEastAsia" w:cs="宋体" w:hint="eastAsia"/>
                <w:b/>
                <w:bCs/>
                <w:szCs w:val="21"/>
              </w:rPr>
            </w:pPr>
            <w:r>
              <w:rPr>
                <w:rFonts w:asciiTheme="minorEastAsia" w:eastAsiaTheme="minorEastAsia" w:hAnsiTheme="minorEastAsia" w:cs="宋体" w:hint="eastAsia"/>
                <w:b/>
                <w:bCs/>
                <w:szCs w:val="21"/>
              </w:rPr>
              <w:t>（二）评分依据：</w:t>
            </w:r>
          </w:p>
          <w:p>
            <w:pPr>
              <w:autoSpaceDE w:val="0"/>
              <w:autoSpaceDN w:val="0"/>
              <w:adjustRightInd w:val="0"/>
              <w:spacing w:line="360" w:lineRule="exact"/>
              <w:jc w:val="left"/>
              <w:rPr>
                <w:rFonts w:asciiTheme="minorEastAsia" w:eastAsiaTheme="minorEastAsia" w:hAnsiTheme="minorEastAsia" w:cs="宋体"/>
                <w:szCs w:val="21"/>
              </w:rPr>
            </w:pPr>
            <w:r>
              <w:rPr>
                <w:rFonts w:asciiTheme="minorEastAsia" w:eastAsiaTheme="minorEastAsia" w:hAnsiTheme="minorEastAsia" w:cs="宋体" w:hint="eastAsia"/>
                <w:szCs w:val="21"/>
                <w:lang w:val="en-US" w:eastAsia="zh-CN"/>
              </w:rPr>
              <w:t>要求投标人</w:t>
            </w:r>
            <w:r>
              <w:rPr>
                <w:rFonts w:asciiTheme="minorEastAsia" w:eastAsiaTheme="minorEastAsia" w:hAnsiTheme="minorEastAsia" w:cs="宋体" w:hint="eastAsia"/>
                <w:szCs w:val="21"/>
              </w:rPr>
              <w:t>提供服务响应时间承诺（格式自拟）</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未按要求提供承诺或承诺内容不满足要求的不得分</w:t>
            </w:r>
            <w:r>
              <w:rPr>
                <w:rFonts w:asciiTheme="minorEastAsia" w:eastAsiaTheme="minorEastAsia" w:hAnsiTheme="minorEastAsia" w:cs="宋体" w:hint="eastAsia"/>
                <w:szCs w:val="21"/>
              </w:rPr>
              <w:t>。</w:t>
            </w:r>
          </w:p>
        </w:tc>
      </w:tr>
      <w:tr>
        <w:tblPrEx>
          <w:tblW w:w="9639" w:type="dxa"/>
          <w:jc w:val="center"/>
          <w:tblCellMar>
            <w:top w:w="20" w:type="dxa"/>
            <w:left w:w="108" w:type="dxa"/>
            <w:bottom w:w="20" w:type="dxa"/>
            <w:right w:w="108" w:type="dxa"/>
          </w:tblCellMar>
        </w:tblPrEx>
        <w:trPr>
          <w:jc w:val="center"/>
        </w:trPr>
        <w:tc>
          <w:tcPr>
            <w:tcW w:w="680" w:type="dxa"/>
            <w:vMerge w:val="restart"/>
            <w:tcBorders>
              <w:top w:val="single" w:sz="8" w:space="0" w:color="000000"/>
              <w:left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4</w:t>
            </w:r>
          </w:p>
        </w:tc>
        <w:tc>
          <w:tcPr>
            <w:tcW w:w="4196" w:type="dxa"/>
            <w:gridSpan w:val="3"/>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其他</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b/>
                <w:bCs/>
                <w:color w:val="0000FF"/>
                <w:sz w:val="24"/>
                <w:szCs w:val="24"/>
              </w:rPr>
            </w:pPr>
            <w:r>
              <w:rPr>
                <w:rFonts w:asciiTheme="minorEastAsia" w:eastAsiaTheme="minorEastAsia" w:hAnsiTheme="minorEastAsia" w:hint="eastAsia"/>
                <w:b/>
                <w:bCs/>
                <w:color w:val="0000FF"/>
              </w:rPr>
              <w:t>5</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序号</w:t>
            </w:r>
          </w:p>
        </w:tc>
        <w:tc>
          <w:tcPr>
            <w:tcW w:w="2835"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评分因素</w:t>
            </w:r>
          </w:p>
        </w:tc>
        <w:tc>
          <w:tcPr>
            <w:tcW w:w="681"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权重(%)</w:t>
            </w:r>
          </w:p>
        </w:tc>
        <w:tc>
          <w:tcPr>
            <w:tcW w:w="4763" w:type="dxa"/>
            <w:tcBorders>
              <w:top w:val="outset" w:sz="6" w:space="0" w:color="000000"/>
              <w:left w:val="outset" w:sz="6" w:space="0" w:color="000000"/>
              <w:bottom w:val="outset" w:sz="6" w:space="0" w:color="000000"/>
              <w:right w:val="outset" w:sz="6" w:space="0" w:color="000000"/>
            </w:tcBorders>
            <w:shd w:val="clear" w:color="auto" w:fill="E6EFFA"/>
            <w:vAlign w:val="center"/>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评分准则</w:t>
            </w:r>
          </w:p>
        </w:tc>
      </w:tr>
      <w:tr>
        <w:tblPrEx>
          <w:tblW w:w="9639" w:type="dxa"/>
          <w:jc w:val="center"/>
          <w:tblCellMar>
            <w:top w:w="20" w:type="dxa"/>
            <w:left w:w="108" w:type="dxa"/>
            <w:bottom w:w="20" w:type="dxa"/>
            <w:right w:w="108" w:type="dxa"/>
          </w:tblCellMar>
        </w:tblPrEx>
        <w:trPr>
          <w:jc w:val="center"/>
        </w:trPr>
        <w:tc>
          <w:tcPr>
            <w:tcW w:w="0" w:type="auto"/>
            <w:vMerge/>
            <w:tcBorders>
              <w:left w:val="single" w:sz="8" w:space="0" w:color="000000"/>
              <w:right w:val="single" w:sz="8" w:space="0" w:color="000000"/>
            </w:tcBorders>
            <w:vAlign w:val="center"/>
          </w:tcPr>
          <w:p>
            <w:pPr>
              <w:spacing w:line="360" w:lineRule="exact"/>
              <w:rPr>
                <w:rFonts w:asciiTheme="minorEastAsia" w:eastAsiaTheme="minorEastAsia" w:hAnsiTheme="minorEastAsia" w:cs="宋体"/>
                <w:b/>
                <w:bCs/>
                <w:color w:val="0000FF"/>
                <w:sz w:val="24"/>
                <w:szCs w:val="24"/>
              </w:rPr>
            </w:pPr>
          </w:p>
        </w:tc>
        <w:tc>
          <w:tcPr>
            <w:tcW w:w="680"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hint="eastAsia"/>
                <w:szCs w:val="21"/>
              </w:rPr>
              <w:t>1</w:t>
            </w:r>
          </w:p>
        </w:tc>
        <w:tc>
          <w:tcPr>
            <w:tcW w:w="2835"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cs="宋体"/>
                <w:szCs w:val="21"/>
              </w:rPr>
            </w:pPr>
            <w:r>
              <w:rPr>
                <w:rFonts w:asciiTheme="minorEastAsia" w:eastAsiaTheme="minorEastAsia" w:hAnsiTheme="minorEastAsia"/>
                <w:szCs w:val="21"/>
              </w:rPr>
              <w:t>诚信</w:t>
            </w:r>
            <w:r>
              <w:rPr>
                <w:rFonts w:asciiTheme="minorEastAsia" w:eastAsiaTheme="minorEastAsia" w:hAnsiTheme="minorEastAsia" w:hint="eastAsia"/>
                <w:szCs w:val="21"/>
              </w:rPr>
              <w:t>评审</w:t>
            </w:r>
          </w:p>
        </w:tc>
        <w:tc>
          <w:tcPr>
            <w:tcW w:w="681" w:type="dxa"/>
            <w:tcBorders>
              <w:top w:val="single" w:sz="8" w:space="0" w:color="000000"/>
              <w:left w:val="single" w:sz="8" w:space="0" w:color="000000"/>
              <w:bottom w:val="single" w:sz="8" w:space="0" w:color="000000"/>
              <w:right w:val="single" w:sz="8" w:space="0" w:color="000000"/>
            </w:tcBorders>
          </w:tcPr>
          <w:p>
            <w:pPr>
              <w:spacing w:line="360" w:lineRule="exact"/>
              <w:jc w:val="center"/>
              <w:rPr>
                <w:rFonts w:asciiTheme="minorEastAsia" w:eastAsiaTheme="minorEastAsia" w:hAnsiTheme="minorEastAsia" w:cs="宋体"/>
                <w:szCs w:val="21"/>
              </w:rPr>
            </w:pPr>
            <w:r>
              <w:rPr>
                <w:rFonts w:asciiTheme="minorEastAsia" w:eastAsiaTheme="minorEastAsia" w:hAnsiTheme="minorEastAsia"/>
                <w:szCs w:val="21"/>
              </w:rPr>
              <w:t>5</w:t>
            </w:r>
          </w:p>
        </w:tc>
        <w:tc>
          <w:tcPr>
            <w:tcW w:w="4763" w:type="dxa"/>
            <w:tcBorders>
              <w:top w:val="single" w:sz="8" w:space="0" w:color="000000"/>
              <w:left w:val="single" w:sz="8" w:space="0" w:color="000000"/>
              <w:bottom w:val="single" w:sz="8" w:space="0" w:color="000000"/>
              <w:right w:val="single" w:sz="8" w:space="0" w:color="000000"/>
            </w:tcBorders>
          </w:tcPr>
          <w:p>
            <w:pPr>
              <w:spacing w:line="360" w:lineRule="exact"/>
              <w:rPr>
                <w:rFonts w:asciiTheme="minorEastAsia" w:eastAsiaTheme="minorEastAsia" w:hAnsiTheme="minorEastAsia"/>
                <w:szCs w:val="21"/>
              </w:rPr>
            </w:pPr>
            <w:r>
              <w:rPr>
                <w:rFonts w:asciiTheme="minorEastAsia" w:eastAsiaTheme="minorEastAsia" w:hAnsiTheme="minorEastAsia" w:hint="eastAsia"/>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pPr>
              <w:spacing w:line="360" w:lineRule="exact"/>
              <w:rPr>
                <w:rFonts w:asciiTheme="minorEastAsia" w:eastAsiaTheme="minorEastAsia" w:hAnsiTheme="minorEastAsia" w:cs="宋体"/>
                <w:szCs w:val="21"/>
              </w:rPr>
            </w:pPr>
            <w:r>
              <w:rPr>
                <w:rFonts w:asciiTheme="minorEastAsia" w:eastAsiaTheme="minorEastAsia" w:hAnsiTheme="minorEastAsia" w:hint="eastAsia"/>
                <w:szCs w:val="21"/>
              </w:rPr>
              <w:t>（采购代理机构通过“信用中国”、“中国政府采购网”、“深圳市政府采购监管网”以及市、区财政部门认定的其他渠道查询供应商信用信息，投标人无需提供证明材料。）</w:t>
            </w:r>
          </w:p>
        </w:tc>
      </w:tr>
    </w:tbl>
    <w:p/>
    <w:p/>
    <w:p>
      <w:pPr>
        <w:widowControl/>
        <w:jc w:val="left"/>
        <w:rPr>
          <w:rFonts w:asciiTheme="minorEastAsia" w:eastAsiaTheme="minorEastAsia" w:hAnsiTheme="minorEastAsia"/>
          <w:b/>
          <w:bCs/>
          <w:kern w:val="44"/>
          <w:sz w:val="28"/>
          <w:szCs w:val="44"/>
        </w:rPr>
      </w:pPr>
      <w:r>
        <w:rPr>
          <w:rFonts w:asciiTheme="minorEastAsia" w:eastAsiaTheme="minorEastAsia" w:hAnsiTheme="minorEastAsia"/>
        </w:rPr>
        <w:br w:type="page"/>
      </w:r>
    </w:p>
    <w:p>
      <w:pPr>
        <w:pStyle w:val="Heading1"/>
        <w:spacing w:before="0" w:after="0"/>
        <w:rPr>
          <w:rFonts w:asciiTheme="minorEastAsia" w:eastAsiaTheme="minorEastAsia" w:hAnsiTheme="minorEastAsia"/>
        </w:rPr>
      </w:pPr>
      <w:r>
        <w:rPr>
          <w:rFonts w:asciiTheme="minorEastAsia" w:eastAsiaTheme="minorEastAsia" w:hAnsiTheme="minorEastAsia" w:hint="eastAsia"/>
        </w:rPr>
        <w:t>其它关键信息</w:t>
      </w:r>
    </w:p>
    <w:p>
      <w:pPr>
        <w:spacing w:line="360" w:lineRule="auto"/>
        <w:ind w:firstLine="412" w:firstLineChars="196"/>
        <w:rPr>
          <w:rFonts w:ascii="宋体" w:hAnsi="宋体"/>
          <w:szCs w:val="21"/>
        </w:rPr>
      </w:pPr>
      <w:r>
        <w:rPr>
          <w:rFonts w:ascii="宋体" w:hAnsi="宋体" w:hint="eastAsia"/>
          <w:b/>
          <w:szCs w:val="21"/>
        </w:rPr>
        <w:t>一</w:t>
      </w:r>
      <w:r>
        <w:rPr>
          <w:rFonts w:asciiTheme="minorEastAsia" w:eastAsiaTheme="minorEastAsia" w:hAnsiTheme="minorEastAsia" w:hint="eastAsia"/>
          <w:b/>
          <w:szCs w:val="21"/>
        </w:rPr>
        <w:t>、</w:t>
      </w:r>
      <w:r>
        <w:rPr>
          <w:rFonts w:hint="eastAsia"/>
          <w:b/>
          <w:szCs w:val="21"/>
        </w:rPr>
        <w:t>评标定标信息</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4264"/>
        <w:gridCol w:w="4265"/>
      </w:tblGrid>
      <w:tr>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是否评标定标分离</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非评定分离</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定标方法</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评标方法</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综合评分法</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中标供应商家数</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1</w:t>
            </w:r>
          </w:p>
        </w:tc>
      </w:tr>
      <w:tr>
        <w:tblPrEx>
          <w:tblW w:w="0" w:type="auto"/>
          <w:jc w:val="center"/>
          <w:tblCellMar>
            <w:top w:w="0" w:type="dxa"/>
            <w:left w:w="108" w:type="dxa"/>
            <w:bottom w:w="0" w:type="dxa"/>
            <w:right w:w="108" w:type="dxa"/>
          </w:tblCellMar>
        </w:tblPrEx>
        <w:trPr>
          <w:jc w:val="center"/>
        </w:trPr>
        <w:tc>
          <w:tcPr>
            <w:tcW w:w="4264"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候选中标供应商家数</w:t>
            </w:r>
          </w:p>
        </w:tc>
        <w:tc>
          <w:tcPr>
            <w:tcW w:w="4265" w:type="dxa"/>
          </w:tcPr>
          <w:p>
            <w:pPr>
              <w:spacing w:after="60"/>
              <w:jc w:val="center"/>
              <w:rPr>
                <w:rFonts w:asciiTheme="minorEastAsia" w:eastAsiaTheme="minorEastAsia" w:hAnsiTheme="minorEastAsia"/>
                <w:szCs w:val="21"/>
              </w:rPr>
            </w:pPr>
            <w:r>
              <w:rPr>
                <w:rFonts w:asciiTheme="minorEastAsia" w:eastAsiaTheme="minorEastAsia" w:hAnsiTheme="minorEastAsia" w:hint="eastAsia"/>
                <w:szCs w:val="21"/>
              </w:rPr>
              <w:t>3</w:t>
            </w:r>
          </w:p>
        </w:tc>
      </w:tr>
    </w:tbl>
    <w:p>
      <w:pPr>
        <w:spacing w:line="360" w:lineRule="auto"/>
        <w:ind w:firstLine="412" w:firstLineChars="196"/>
        <w:rPr>
          <w:rFonts w:ascii="宋体" w:hAnsi="宋体"/>
        </w:rPr>
      </w:pPr>
    </w:p>
    <w:p>
      <w:pPr>
        <w:spacing w:line="360" w:lineRule="auto"/>
        <w:ind w:firstLine="412" w:firstLineChars="196"/>
        <w:rPr>
          <w:rFonts w:ascii="宋体" w:hAnsi="宋体"/>
          <w:b/>
          <w:szCs w:val="21"/>
        </w:rPr>
      </w:pPr>
      <w:r>
        <w:rPr>
          <w:rFonts w:ascii="宋体" w:hAnsi="宋体" w:hint="eastAsia"/>
          <w:b/>
          <w:szCs w:val="21"/>
        </w:rPr>
        <w:t>二</w:t>
      </w:r>
      <w:r>
        <w:rPr>
          <w:rFonts w:asciiTheme="minorEastAsia" w:eastAsiaTheme="minorEastAsia" w:hAnsiTheme="minorEastAsia" w:hint="eastAsia"/>
          <w:b/>
          <w:szCs w:val="21"/>
        </w:rPr>
        <w:t>、</w:t>
      </w:r>
      <w:r>
        <w:rPr>
          <w:rFonts w:ascii="宋体" w:hAnsi="宋体" w:hint="eastAsia"/>
          <w:b/>
          <w:szCs w:val="21"/>
        </w:rPr>
        <w:t>报价明显偏低的合理性说明</w:t>
      </w:r>
    </w:p>
    <w:p>
      <w:pPr>
        <w:spacing w:line="360" w:lineRule="auto"/>
        <w:ind w:firstLine="420" w:firstLineChars="200"/>
        <w:rPr>
          <w:rFonts w:ascii="宋体" w:hAnsi="宋体"/>
          <w:szCs w:val="21"/>
        </w:rPr>
      </w:pPr>
      <w:r>
        <w:rPr>
          <w:rFonts w:ascii="宋体" w:hAnsi="宋体" w:hint="eastAsia"/>
          <w:szCs w:val="21"/>
        </w:rPr>
        <w:t>根据《中华人民共和国财政部令第</w:t>
      </w:r>
      <w:r>
        <w:rPr>
          <w:rFonts w:ascii="宋体" w:hAnsi="宋体"/>
          <w:szCs w:val="21"/>
        </w:rPr>
        <w:t>87</w:t>
      </w:r>
      <w:r>
        <w:rPr>
          <w:rFonts w:ascii="宋体" w:hAnsi="宋体" w:hint="eastAsia"/>
          <w:szCs w:val="21"/>
        </w:rPr>
        <w:t>号</w:t>
      </w:r>
      <w:r>
        <w:rPr>
          <w:rFonts w:ascii="宋体" w:hAnsi="宋体"/>
          <w:szCs w:val="21"/>
        </w:rPr>
        <w:t>-</w:t>
      </w:r>
      <w:r>
        <w:rPr>
          <w:rFonts w:ascii="宋体" w:hAnsi="宋体" w:hint="eastAsia"/>
          <w:szCs w:val="21"/>
        </w:rPr>
        <w:t>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line="360" w:lineRule="auto"/>
        <w:ind w:firstLine="420" w:firstLineChars="200"/>
        <w:rPr>
          <w:rFonts w:ascii="宋体" w:hAnsi="宋体"/>
          <w:szCs w:val="21"/>
        </w:rPr>
      </w:pPr>
    </w:p>
    <w:p>
      <w:pPr>
        <w:spacing w:line="360" w:lineRule="auto"/>
        <w:ind w:firstLine="420" w:firstLineChars="200"/>
        <w:rPr>
          <w:rFonts w:asciiTheme="minorEastAsia" w:eastAsiaTheme="minorEastAsia" w:hAnsiTheme="minorEastAsia"/>
          <w:b/>
          <w:bCs/>
        </w:rPr>
      </w:pPr>
      <w:r>
        <w:rPr>
          <w:rFonts w:asciiTheme="minorEastAsia" w:eastAsiaTheme="minorEastAsia" w:hAnsiTheme="minorEastAsia" w:hint="eastAsia"/>
          <w:b/>
          <w:szCs w:val="21"/>
        </w:rPr>
        <w:t>三、</w:t>
      </w:r>
      <w:r>
        <w:rPr>
          <w:rFonts w:asciiTheme="minorEastAsia" w:eastAsiaTheme="minorEastAsia" w:hAnsiTheme="minorEastAsia" w:hint="eastAsia"/>
          <w:b/>
          <w:bCs/>
        </w:rPr>
        <w:t>关于享受政府采购扶持政策的主体及价格扣除比例</w:t>
      </w:r>
    </w:p>
    <w:p>
      <w:pPr>
        <w:spacing w:after="60" w:line="360" w:lineRule="auto"/>
        <w:ind w:firstLine="424" w:firstLineChars="202"/>
        <w:rPr>
          <w:rFonts w:ascii="宋体" w:hAnsi="宋体"/>
          <w:b/>
          <w:snapToGrid w:val="0"/>
          <w:szCs w:val="21"/>
        </w:rPr>
      </w:pPr>
      <w:r>
        <w:rPr>
          <w:rFonts w:ascii="宋体" w:hAnsi="宋体" w:hint="eastAsia"/>
          <w:b/>
          <w:snapToGrid w:val="0"/>
          <w:szCs w:val="21"/>
          <w:highlight w:val="yellow"/>
        </w:rPr>
        <w:t>（一）本项目所属行业为</w:t>
      </w:r>
      <w:r>
        <w:rPr>
          <w:rFonts w:ascii="宋体" w:hAnsi="宋体" w:hint="eastAsia"/>
          <w:b/>
          <w:snapToGrid w:val="0"/>
          <w:szCs w:val="21"/>
          <w:highlight w:val="yellow"/>
          <w:u w:val="single"/>
        </w:rPr>
        <w:t xml:space="preserve"> 其他未列明行业 </w:t>
      </w:r>
      <w:r>
        <w:rPr>
          <w:rFonts w:ascii="宋体" w:hAnsi="宋体" w:hint="eastAsia"/>
          <w:b/>
          <w:snapToGrid w:val="0"/>
          <w:szCs w:val="21"/>
          <w:highlight w:val="yellow"/>
        </w:rPr>
        <w:t>，投标人应根据《工业和信息化部、国家统计局、国家发展和改革委员会、财政部关于印发中小企业划型标准规定的通知》(工信部联企业〔2011〕300号)规定的中小企业划型标准填写《中小企业声明函》。</w:t>
      </w:r>
    </w:p>
    <w:p>
      <w:pPr>
        <w:spacing w:line="360" w:lineRule="auto"/>
        <w:ind w:firstLine="420" w:firstLineChars="200"/>
        <w:rPr>
          <w:rFonts w:asciiTheme="minorEastAsia" w:eastAsiaTheme="minorEastAsia" w:hAnsiTheme="minorEastAsia"/>
          <w:b/>
          <w:bCs/>
        </w:rPr>
      </w:pPr>
      <w:r>
        <w:rPr>
          <w:rFonts w:asciiTheme="minorEastAsia" w:eastAsiaTheme="minorEastAsia" w:hAnsiTheme="minorEastAsia" w:hint="eastAsia"/>
          <w:b/>
          <w:bCs/>
        </w:rPr>
        <w:t>（二）价格评审优惠</w:t>
      </w:r>
    </w:p>
    <w:p>
      <w:pPr>
        <w:spacing w:line="360" w:lineRule="auto"/>
        <w:ind w:firstLine="372" w:firstLineChars="177"/>
        <w:rPr>
          <w:rFonts w:asciiTheme="minorEastAsia" w:eastAsiaTheme="minorEastAsia" w:hAnsiTheme="minorEastAsia" w:cs="仿宋"/>
          <w:szCs w:val="21"/>
        </w:rPr>
      </w:pPr>
      <w:r>
        <w:rPr>
          <w:rFonts w:asciiTheme="minorEastAsia" w:eastAsiaTheme="minorEastAsia" w:hAnsiTheme="minorEastAsia" w:hint="eastAsia"/>
          <w:szCs w:val="21"/>
          <w:lang w:eastAsia="zh-CN"/>
        </w:rPr>
        <w:t>☑</w:t>
      </w:r>
      <w:r>
        <w:rPr>
          <w:rFonts w:hAnsi="宋体" w:hint="eastAsia"/>
          <w:szCs w:val="24"/>
        </w:rPr>
        <w:t>预留份额专门面向中小企业采购的采购项目或采购包</w:t>
      </w:r>
      <w:r>
        <w:rPr>
          <w:rFonts w:asciiTheme="minorEastAsia" w:eastAsiaTheme="minorEastAsia" w:hAnsiTheme="minorEastAsia" w:cs="仿宋" w:hint="eastAsia"/>
          <w:szCs w:val="21"/>
        </w:rPr>
        <w:t>：不执行价格评审优惠的扶持政策。</w:t>
      </w:r>
    </w:p>
    <w:p>
      <w:pPr>
        <w:widowControl/>
        <w:spacing w:line="360" w:lineRule="auto"/>
        <w:ind w:firstLine="372" w:firstLineChars="177"/>
        <w:jc w:val="left"/>
        <w:rPr>
          <w:rFonts w:asciiTheme="minorEastAsia" w:eastAsiaTheme="minorEastAsia" w:hAnsiTheme="minorEastAsia" w:cs="仿宋"/>
          <w:szCs w:val="21"/>
        </w:rPr>
      </w:pPr>
      <w:r>
        <w:rPr>
          <w:rFonts w:ascii="宋体" w:eastAsia="宋体" w:hAnsiTheme="minorEastAsia" w:cs="MS Mincho" w:hint="eastAsia"/>
          <w:kern w:val="0"/>
          <w:szCs w:val="21"/>
          <w:lang w:eastAsia="zh-CN"/>
        </w:rPr>
        <w:t>□</w:t>
      </w:r>
      <w:r>
        <w:rPr>
          <w:rFonts w:ascii="Segoe UI Symbol" w:hAnsi="Segoe UI Symbol" w:hint="eastAsia"/>
          <w:szCs w:val="24"/>
        </w:rPr>
        <w:t>未</w:t>
      </w:r>
      <w:r>
        <w:rPr>
          <w:rFonts w:hAnsi="宋体" w:hint="eastAsia"/>
          <w:szCs w:val="24"/>
        </w:rPr>
        <w:t>预留份额专门面向中小企业采购的采购项目或采购包</w:t>
      </w:r>
      <w:r>
        <w:rPr>
          <w:rFonts w:asciiTheme="minorEastAsia" w:eastAsiaTheme="minorEastAsia" w:hAnsiTheme="minorEastAsia" w:hint="eastAsia"/>
          <w:szCs w:val="21"/>
        </w:rPr>
        <w:t>：</w:t>
      </w:r>
    </w:p>
    <w:p>
      <w:pPr>
        <w:spacing w:line="360" w:lineRule="auto"/>
        <w:ind w:firstLine="424" w:firstLineChars="202"/>
        <w:rPr>
          <w:rFonts w:asciiTheme="minorEastAsia" w:eastAsiaTheme="minorEastAsia" w:hAnsiTheme="minorEastAsia"/>
        </w:rPr>
      </w:pPr>
      <w:r>
        <w:rPr>
          <w:rFonts w:asciiTheme="minorEastAsia" w:eastAsiaTheme="minorEastAsia" w:hAnsiTheme="minorEastAsia" w:hint="eastAsia"/>
        </w:rPr>
        <w:t>（1）根据</w:t>
      </w:r>
      <w:r>
        <w:rPr>
          <w:rFonts w:ascii="宋体" w:hAnsi="宋体" w:hint="eastAsia"/>
          <w:snapToGrid w:val="0"/>
          <w:szCs w:val="21"/>
        </w:rPr>
        <w:t>《财政部 工业和信息化部关于印发《政府采购促进中小企业发展管理办法》的通知》(财库〔2020〕46号)</w:t>
      </w:r>
      <w:r>
        <w:rPr>
          <w:rFonts w:asciiTheme="minorEastAsia" w:eastAsiaTheme="minorEastAsia" w:hAnsiTheme="minorEastAsia" w:hint="eastAsia"/>
        </w:rPr>
        <w:t>、《财政部 司法部关于政府采购支持监狱企业发展有关问题的通知》（财库〔2014〕68号）和《三部门联合发布关于促进残疾人就业政府采购政策的通知》（财库〔2017〕141号）的规定，对满足价格扣除条件且在投标文件中提交了符合政府采购扶持政策的证明材料的投标人，</w:t>
      </w:r>
      <w:r>
        <w:rPr>
          <w:rFonts w:asciiTheme="minorEastAsia" w:eastAsiaTheme="minorEastAsia" w:hAnsiTheme="minorEastAsia" w:hint="eastAsia"/>
          <w:b/>
        </w:rPr>
        <w:t>其投标报价扣除</w:t>
      </w:r>
      <w:r>
        <w:rPr>
          <w:rFonts w:asciiTheme="minorEastAsia" w:eastAsiaTheme="minorEastAsia" w:hAnsiTheme="minorEastAsia" w:hint="eastAsia"/>
          <w:b/>
          <w:u w:val="single"/>
        </w:rPr>
        <w:t xml:space="preserve"> 10 </w:t>
      </w:r>
      <w:r>
        <w:rPr>
          <w:rFonts w:asciiTheme="minorEastAsia" w:eastAsiaTheme="minorEastAsia" w:hAnsiTheme="minorEastAsia" w:hint="eastAsia"/>
          <w:b/>
        </w:rPr>
        <w:t>%（请在10%-20%范围内选择）后参与评审</w:t>
      </w:r>
      <w:r>
        <w:rPr>
          <w:rFonts w:asciiTheme="minorEastAsia" w:eastAsiaTheme="minorEastAsia" w:hAnsiTheme="minorEastAsia" w:hint="eastAsia"/>
        </w:rPr>
        <w:t>。</w:t>
      </w:r>
    </w:p>
    <w:p>
      <w:pPr>
        <w:spacing w:line="360" w:lineRule="auto"/>
        <w:ind w:firstLine="424" w:firstLineChars="202"/>
        <w:rPr>
          <w:rFonts w:asciiTheme="minorEastAsia" w:eastAsiaTheme="minorEastAsia" w:hAnsiTheme="minorEastAsia"/>
        </w:rPr>
      </w:pPr>
      <w:r>
        <w:rPr>
          <w:rFonts w:asciiTheme="minorEastAsia" w:eastAsiaTheme="minorEastAsia" w:hAnsiTheme="minorEastAsia" w:hint="eastAsia"/>
        </w:rPr>
        <w:t>（2）联合协议中约定，小型、微型企业的协议合同金额占到联合体协议合同总金额30%以上的，可给予</w:t>
      </w:r>
      <w:r>
        <w:rPr>
          <w:rFonts w:asciiTheme="minorEastAsia" w:eastAsiaTheme="minorEastAsia" w:hAnsiTheme="minorEastAsia" w:hint="eastAsia"/>
          <w:b/>
        </w:rPr>
        <w:t>联合体</w:t>
      </w:r>
      <w:r>
        <w:rPr>
          <w:rFonts w:asciiTheme="minorEastAsia" w:eastAsiaTheme="minorEastAsia" w:hAnsiTheme="minorEastAsia" w:hint="eastAsia"/>
          <w:b/>
          <w:u w:val="single"/>
        </w:rPr>
        <w:t xml:space="preserve"> / </w:t>
      </w:r>
      <w:r>
        <w:rPr>
          <w:rFonts w:asciiTheme="minorEastAsia" w:eastAsiaTheme="minorEastAsia" w:hAnsiTheme="minorEastAsia" w:hint="eastAsia"/>
          <w:b/>
        </w:rPr>
        <w:t>%</w:t>
      </w:r>
      <w:r>
        <w:rPr>
          <w:rFonts w:asciiTheme="minorEastAsia" w:eastAsiaTheme="minorEastAsia" w:hAnsiTheme="minorEastAsia"/>
          <w:b/>
        </w:rPr>
        <w:t xml:space="preserve"> </w:t>
      </w:r>
      <w:r>
        <w:rPr>
          <w:rFonts w:asciiTheme="minorEastAsia" w:eastAsiaTheme="minorEastAsia" w:hAnsiTheme="minorEastAsia" w:hint="eastAsia"/>
          <w:b/>
        </w:rPr>
        <w:t>（请在4</w:t>
      </w:r>
      <w:r>
        <w:rPr>
          <w:rFonts w:asciiTheme="minorEastAsia" w:eastAsiaTheme="minorEastAsia" w:hAnsiTheme="minorEastAsia"/>
          <w:b/>
        </w:rPr>
        <w:t>%-</w:t>
      </w:r>
      <w:r>
        <w:rPr>
          <w:rFonts w:asciiTheme="minorEastAsia" w:eastAsiaTheme="minorEastAsia" w:hAnsiTheme="minorEastAsia" w:hint="eastAsia"/>
          <w:b/>
        </w:rPr>
        <w:t>6</w:t>
      </w:r>
      <w:r>
        <w:rPr>
          <w:rFonts w:asciiTheme="minorEastAsia" w:eastAsiaTheme="minorEastAsia" w:hAnsiTheme="minorEastAsia"/>
          <w:b/>
        </w:rPr>
        <w:t>%</w:t>
      </w:r>
      <w:r>
        <w:rPr>
          <w:rFonts w:asciiTheme="minorEastAsia" w:eastAsiaTheme="minorEastAsia" w:hAnsiTheme="minorEastAsia" w:hint="eastAsia"/>
          <w:b/>
        </w:rPr>
        <w:t>范围内选择）</w:t>
      </w:r>
      <w:r>
        <w:rPr>
          <w:rFonts w:asciiTheme="minorEastAsia" w:eastAsiaTheme="minorEastAsia" w:hAnsiTheme="minorEastAsia" w:hint="eastAsia"/>
        </w:rPr>
        <w:t>的价格扣除</w:t>
      </w:r>
      <w:r>
        <w:rPr>
          <w:rFonts w:ascii="宋体" w:hAnsi="宋体" w:hint="eastAsia"/>
        </w:rPr>
        <w:t>，用扣除后的价格参与评审</w:t>
      </w:r>
      <w:r>
        <w:rPr>
          <w:rFonts w:asciiTheme="minorEastAsia" w:eastAsiaTheme="minorEastAsia" w:hAnsiTheme="minorEastAsia" w:hint="eastAsia"/>
        </w:rPr>
        <w:t>。如联合体各方均为小型、微型企业，联合体视同为小型、微型企业，享受</w:t>
      </w:r>
      <w:r>
        <w:rPr>
          <w:rFonts w:asciiTheme="minorEastAsia" w:eastAsiaTheme="minorEastAsia" w:hAnsiTheme="minorEastAsia" w:hint="eastAsia"/>
          <w:b/>
        </w:rPr>
        <w:t>第（1）项</w:t>
      </w:r>
      <w:r>
        <w:rPr>
          <w:rFonts w:asciiTheme="minorEastAsia" w:eastAsiaTheme="minorEastAsia" w:hAnsiTheme="minorEastAsia" w:hint="eastAsia"/>
        </w:rPr>
        <w:t>的评审优惠。</w:t>
      </w:r>
    </w:p>
    <w:p>
      <w:pPr>
        <w:spacing w:after="60" w:line="360" w:lineRule="auto"/>
        <w:ind w:firstLine="424" w:firstLineChars="202"/>
        <w:rPr>
          <w:rFonts w:ascii="宋体" w:hAnsi="宋体"/>
        </w:rPr>
      </w:pPr>
      <w:r>
        <w:rPr>
          <w:rFonts w:ascii="宋体" w:hAnsi="宋体" w:hint="eastAsia"/>
        </w:rPr>
        <w:t>（3）分包意向协议约定，小型、微型企业的协议合同金额占到合同总金额30%以上的，可给予投标人</w:t>
      </w:r>
      <w:r>
        <w:rPr>
          <w:rFonts w:ascii="宋体" w:hAnsi="宋体" w:hint="eastAsia"/>
          <w:b/>
          <w:u w:val="single"/>
        </w:rPr>
        <w:t xml:space="preserve">  </w:t>
      </w:r>
      <w:r>
        <w:rPr>
          <w:rFonts w:asciiTheme="minorEastAsia" w:eastAsiaTheme="minorEastAsia" w:hAnsiTheme="minorEastAsia" w:hint="eastAsia"/>
          <w:b/>
          <w:u w:val="single"/>
        </w:rPr>
        <w:t xml:space="preserve">/  </w:t>
      </w:r>
      <w:r>
        <w:rPr>
          <w:rFonts w:asciiTheme="minorEastAsia" w:eastAsiaTheme="minorEastAsia" w:hAnsiTheme="minorEastAsia" w:hint="eastAsia"/>
          <w:b/>
        </w:rPr>
        <w:t>%</w:t>
      </w:r>
      <w:r>
        <w:rPr>
          <w:rFonts w:asciiTheme="minorEastAsia" w:eastAsiaTheme="minorEastAsia" w:hAnsiTheme="minorEastAsia"/>
          <w:b/>
        </w:rPr>
        <w:t xml:space="preserve"> </w:t>
      </w:r>
      <w:r>
        <w:rPr>
          <w:rFonts w:asciiTheme="minorEastAsia" w:eastAsiaTheme="minorEastAsia" w:hAnsiTheme="minorEastAsia" w:hint="eastAsia"/>
          <w:b/>
        </w:rPr>
        <w:t>（请在4</w:t>
      </w:r>
      <w:r>
        <w:rPr>
          <w:rFonts w:asciiTheme="minorEastAsia" w:eastAsiaTheme="minorEastAsia" w:hAnsiTheme="minorEastAsia"/>
          <w:b/>
        </w:rPr>
        <w:t>%-</w:t>
      </w:r>
      <w:r>
        <w:rPr>
          <w:rFonts w:asciiTheme="minorEastAsia" w:eastAsiaTheme="minorEastAsia" w:hAnsiTheme="minorEastAsia" w:hint="eastAsia"/>
          <w:b/>
        </w:rPr>
        <w:t>6</w:t>
      </w:r>
      <w:r>
        <w:rPr>
          <w:rFonts w:asciiTheme="minorEastAsia" w:eastAsiaTheme="minorEastAsia" w:hAnsiTheme="minorEastAsia"/>
          <w:b/>
        </w:rPr>
        <w:t>%</w:t>
      </w:r>
      <w:r>
        <w:rPr>
          <w:rFonts w:asciiTheme="minorEastAsia" w:eastAsiaTheme="minorEastAsia" w:hAnsiTheme="minorEastAsia" w:hint="eastAsia"/>
          <w:b/>
        </w:rPr>
        <w:t>范围内选择）</w:t>
      </w:r>
      <w:r>
        <w:rPr>
          <w:rFonts w:asciiTheme="minorEastAsia" w:eastAsiaTheme="minorEastAsia" w:hAnsiTheme="minorEastAsia" w:hint="eastAsia"/>
        </w:rPr>
        <w:t>的价格扣除</w:t>
      </w:r>
      <w:r>
        <w:rPr>
          <w:rFonts w:ascii="宋体" w:hAnsi="宋体" w:hint="eastAsia"/>
        </w:rPr>
        <w:t>，用扣除后的价格参与评审。</w:t>
      </w:r>
    </w:p>
    <w:p>
      <w:pPr>
        <w:spacing w:after="60" w:line="360" w:lineRule="auto"/>
        <w:ind w:firstLine="424" w:firstLineChars="202"/>
        <w:rPr>
          <w:rFonts w:ascii="宋体" w:hAnsi="宋体"/>
        </w:rPr>
      </w:pPr>
      <w:r>
        <w:rPr>
          <w:rFonts w:ascii="宋体" w:hAnsi="宋体" w:hint="eastAsia"/>
        </w:rPr>
        <w:t>（4）</w:t>
      </w:r>
      <w:r>
        <w:rPr>
          <w:rFonts w:asciiTheme="minorEastAsia" w:eastAsiaTheme="minorEastAsia" w:hAnsiTheme="minorEastAsia" w:hint="eastAsia"/>
        </w:rPr>
        <w:t>如供应商为</w:t>
      </w:r>
      <w:r>
        <w:rPr>
          <w:rFonts w:hAnsi="宋体" w:hint="eastAsia"/>
        </w:rPr>
        <w:t>监狱企业</w:t>
      </w:r>
      <w:r>
        <w:rPr>
          <w:rFonts w:hAnsi="宋体" w:hint="eastAsia"/>
          <w:szCs w:val="21"/>
        </w:rPr>
        <w:t>或残疾人福利性单位，</w:t>
      </w:r>
      <w:r>
        <w:rPr>
          <w:rFonts w:hAnsi="宋体" w:hint="eastAsia"/>
        </w:rPr>
        <w:t>视同</w:t>
      </w:r>
      <w:r>
        <w:rPr>
          <w:rFonts w:asciiTheme="minorEastAsia" w:eastAsiaTheme="minorEastAsia" w:hAnsiTheme="minorEastAsia" w:hint="eastAsia"/>
        </w:rPr>
        <w:t>小型、微型企业，</w:t>
      </w:r>
      <w:r>
        <w:rPr>
          <w:rFonts w:hAnsi="宋体" w:hint="eastAsia"/>
        </w:rPr>
        <w:t>享受以上预留份额、评审中价格扣除等政府采购促进中小企业发展的政府采购政策；</w:t>
      </w:r>
      <w:r>
        <w:rPr>
          <w:rFonts w:asciiTheme="minorEastAsia" w:eastAsiaTheme="minorEastAsia" w:hAnsiTheme="minorEastAsia" w:hint="eastAsia"/>
        </w:rPr>
        <w:t>对于同时属于小型、微型企业、监狱企业或残疾人福利性单位的供应商，不重复享受政策。</w:t>
      </w:r>
    </w:p>
    <w:p>
      <w:pPr>
        <w:spacing w:after="60" w:line="360" w:lineRule="auto"/>
        <w:ind w:firstLine="424" w:firstLineChars="202"/>
        <w:rPr>
          <w:rFonts w:ascii="宋体" w:hAnsi="宋体"/>
        </w:rPr>
      </w:pPr>
      <w:r>
        <w:rPr>
          <w:rFonts w:ascii="宋体" w:hAnsi="宋体" w:hint="eastAsia"/>
        </w:rPr>
        <w:t>（5）优惠主体资格的认定资料为《中小企业声明函》、《残疾人福利性单位声明函》以及《监狱企业声明函》等承诺性质的资料（</w:t>
      </w:r>
      <w:r>
        <w:rPr>
          <w:rFonts w:ascii="宋体" w:hAnsi="宋体" w:cs="宋体" w:hint="eastAsia"/>
          <w:szCs w:val="21"/>
        </w:rPr>
        <w:t>格式详见招标文件第三章</w:t>
      </w:r>
      <w:r>
        <w:rPr>
          <w:rFonts w:ascii="宋体" w:hAnsi="宋体" w:hint="eastAsia"/>
        </w:rPr>
        <w:t>）；监狱企业或者代理提供监狱企业货物的供应商如需享受优惠政策，除上述资料外，还须提供省级以上监狱管理局、戒毒管理局出具的监狱企业证明文件。</w:t>
      </w:r>
    </w:p>
    <w:p>
      <w:pPr>
        <w:spacing w:line="360" w:lineRule="auto"/>
        <w:ind w:firstLine="420" w:firstLineChars="200"/>
        <w:rPr>
          <w:rFonts w:asciiTheme="minorEastAsia" w:eastAsiaTheme="minorEastAsia" w:hAnsiTheme="minorEastAsia"/>
          <w:b/>
          <w:szCs w:val="21"/>
        </w:rPr>
      </w:pPr>
    </w:p>
    <w:p>
      <w:pPr>
        <w:spacing w:line="360" w:lineRule="auto"/>
        <w:ind w:firstLine="420" w:firstLineChars="200"/>
        <w:rPr>
          <w:rFonts w:ascii="宋体" w:hAnsi="宋体"/>
          <w:b/>
          <w:szCs w:val="21"/>
        </w:rPr>
      </w:pPr>
      <w:r>
        <w:rPr>
          <w:rFonts w:asciiTheme="minorEastAsia" w:eastAsiaTheme="minorEastAsia" w:hAnsiTheme="minorEastAsia" w:hint="eastAsia"/>
          <w:b/>
          <w:szCs w:val="21"/>
        </w:rPr>
        <w:t>四、</w:t>
      </w:r>
      <w:r>
        <w:rPr>
          <w:rFonts w:ascii="Times New Roman" w:hAnsi="Times New Roman" w:hint="eastAsia"/>
          <w:b/>
          <w:szCs w:val="24"/>
        </w:rPr>
        <w:t>绿色采购</w:t>
      </w:r>
    </w:p>
    <w:p>
      <w:pPr>
        <w:spacing w:line="360" w:lineRule="auto"/>
        <w:ind w:firstLine="424" w:firstLineChars="202"/>
        <w:jc w:val="left"/>
        <w:rPr>
          <w:rFonts w:asciiTheme="minorEastAsia" w:eastAsiaTheme="minorEastAsia" w:hAnsiTheme="minorEastAsia"/>
          <w:szCs w:val="21"/>
        </w:rPr>
      </w:pPr>
      <w:r>
        <w:rPr>
          <w:rFonts w:asciiTheme="minorEastAsia" w:eastAsiaTheme="minorEastAsia" w:hAnsiTheme="minorEastAsia" w:hint="eastAsia"/>
          <w:szCs w:val="24"/>
        </w:rPr>
        <w:t>（1）投标产品属于《关于调整优化节能产品环境标志产品政府采购执行机制的通知》（财库〔2019〕9号）、《关于印发环境标志产品政府采购品目清单的通知》（财库〔2019〕18号）和《关于印发节能产品</w:t>
      </w:r>
      <w:r>
        <w:rPr>
          <w:rFonts w:asciiTheme="minorEastAsia" w:eastAsiaTheme="minorEastAsia" w:hAnsiTheme="minorEastAsia" w:hint="eastAsia"/>
          <w:szCs w:val="21"/>
        </w:rPr>
        <w:t>政府采购品目清单的通知》（财库〔2019〕19号）品目清单范围内的，</w:t>
      </w:r>
      <w:r>
        <w:rPr>
          <w:rFonts w:asciiTheme="minorEastAsia" w:eastAsiaTheme="minorEastAsia" w:hAnsiTheme="minorEastAsia" w:hint="eastAsia"/>
          <w:szCs w:val="24"/>
        </w:rPr>
        <w:t>应依据国家确定的认证机构出具的、处于有效期之内的节能产品、环境标志产品认证证书，对获得证书的产品实施政府优先采购或强制采购。</w:t>
      </w:r>
      <w:r>
        <w:rPr>
          <w:rFonts w:asciiTheme="minorEastAsia" w:eastAsiaTheme="minorEastAsia" w:hAnsiTheme="minorEastAsia" w:hint="eastAsia"/>
          <w:b/>
          <w:szCs w:val="24"/>
        </w:rPr>
        <w:t>对符合条件的获证产品</w:t>
      </w:r>
      <w:r>
        <w:rPr>
          <w:rFonts w:asciiTheme="minorEastAsia" w:eastAsiaTheme="minorEastAsia" w:hAnsiTheme="minorEastAsia" w:hint="eastAsia"/>
          <w:b/>
          <w:szCs w:val="21"/>
        </w:rPr>
        <w:t>，根据该投标产品报价给予</w:t>
      </w:r>
      <w:r>
        <w:rPr>
          <w:rFonts w:asciiTheme="minorEastAsia" w:eastAsiaTheme="minorEastAsia" w:hAnsiTheme="minorEastAsia" w:hint="eastAsia"/>
          <w:b/>
          <w:szCs w:val="21"/>
          <w:u w:val="single"/>
        </w:rPr>
        <w:t xml:space="preserve"> 1 </w:t>
      </w:r>
      <w:r>
        <w:rPr>
          <w:rFonts w:asciiTheme="minorEastAsia" w:eastAsiaTheme="minorEastAsia" w:hAnsiTheme="minorEastAsia" w:hint="eastAsia"/>
          <w:b/>
          <w:szCs w:val="21"/>
        </w:rPr>
        <w:t>%的价格扣除，用扣除后的价格参与评审</w:t>
      </w:r>
      <w:r>
        <w:rPr>
          <w:rFonts w:asciiTheme="minorEastAsia" w:eastAsiaTheme="minorEastAsia" w:hAnsiTheme="minorEastAsia" w:hint="eastAsia"/>
          <w:szCs w:val="21"/>
        </w:rPr>
        <w:t>（需按投标文件格式部分“列入政府优先采购清单的投标产品一览表”的要求提供证明材料，否则不予价格扣除）。</w:t>
      </w:r>
    </w:p>
    <w:p>
      <w:pPr>
        <w:autoSpaceDE w:val="0"/>
        <w:autoSpaceDN w:val="0"/>
        <w:adjustRightInd w:val="0"/>
        <w:spacing w:line="360" w:lineRule="auto"/>
        <w:ind w:firstLine="370" w:firstLineChars="176"/>
        <w:jc w:val="left"/>
        <w:rPr>
          <w:rFonts w:ascii="宋体" w:eastAsia="黑体" w:hAnsi="宋体"/>
          <w:b/>
          <w:bCs/>
          <w:kern w:val="44"/>
          <w:sz w:val="28"/>
          <w:szCs w:val="44"/>
        </w:rPr>
      </w:pPr>
      <w:r>
        <w:rPr>
          <w:rFonts w:asciiTheme="minorEastAsia" w:eastAsiaTheme="minorEastAsia" w:hAnsiTheme="minorEastAsia" w:hint="eastAsia"/>
          <w:szCs w:val="21"/>
        </w:rPr>
        <w:t>（2）按照《深圳市财政局关于大力推广政府绿色采购有关事项的通知（深财购〔2023〕49号）》相关要求，严格执行绿色采购需求标准。采购单位严格执行《商品包装政府采购需求标准（试行）》、《快递包装政府采购需求标准（试行）》（财办库〔2020〕123号）、《绿色建筑和绿色建材政府采购需求标准》（财办库〔2022〕35号）、《绿色数据中心政府采购需求标准（试行）》（财办库〔2023〕7号）等需求标准，依据相关需求标准确定采购需求，在采购文件和采购合同中载明具体需求、履约验收条款和违约责任，促进绿色包装、绿色运输、绿色建筑、绿色建材和绿色数据中心在政府采购领域的应用。加大新能源汽车采购力度。积极推广合同能源管理。鼓励公共机构推广应用合同能源管理，借助市场化手段，通过实施应用节能新技术、新产品，不断提高能源利用效率，为公共机构节能减排提供有力支持和保障。</w:t>
      </w:r>
    </w:p>
    <w:p>
      <w:pPr>
        <w:spacing w:line="360" w:lineRule="auto"/>
        <w:rPr>
          <w:rFonts w:ascii="Times New Roman" w:hAnsi="Times New Roman"/>
          <w:b/>
          <w:bCs/>
          <w:sz w:val="24"/>
          <w:szCs w:val="24"/>
        </w:rPr>
      </w:pPr>
    </w:p>
    <w:p>
      <w:pPr>
        <w:spacing w:line="360" w:lineRule="auto"/>
        <w:ind w:firstLine="420" w:firstLineChars="200"/>
        <w:rPr>
          <w:rFonts w:ascii="宋体" w:hAnsi="宋体"/>
          <w:b/>
          <w:szCs w:val="21"/>
        </w:rPr>
      </w:pPr>
      <w:r>
        <w:rPr>
          <w:rFonts w:asciiTheme="minorEastAsia" w:eastAsiaTheme="minorEastAsia" w:hAnsiTheme="minorEastAsia" w:hint="eastAsia"/>
          <w:b/>
          <w:szCs w:val="21"/>
        </w:rPr>
        <w:t>五、</w:t>
      </w:r>
      <w:r>
        <w:rPr>
          <w:rFonts w:ascii="Times New Roman" w:hAnsi="Times New Roman" w:hint="eastAsia"/>
          <w:b/>
          <w:szCs w:val="24"/>
        </w:rPr>
        <w:t>其他说明</w:t>
      </w:r>
    </w:p>
    <w:p>
      <w:pPr>
        <w:spacing w:line="360" w:lineRule="auto"/>
        <w:ind w:firstLine="420" w:firstLineChars="200"/>
        <w:rPr>
          <w:rFonts w:asciiTheme="minorEastAsia" w:eastAsiaTheme="minorEastAsia" w:hAnsiTheme="minorEastAsia"/>
          <w:szCs w:val="21"/>
        </w:rPr>
      </w:pPr>
      <w:r>
        <w:rPr>
          <w:rFonts w:asciiTheme="minorEastAsia" w:eastAsiaTheme="minorEastAsia" w:hAnsiTheme="minorEastAsia" w:hint="eastAsia"/>
          <w:szCs w:val="24"/>
        </w:rPr>
        <w:t>为缓解中小企业融资难题，深圳市推出政府采购订单融资改革举措。订单融资具体流程及试点金融机构订单融资服务承诺可参阅深圳市政府采购监管网（zfcg.sz.gov.cn）政府采购订单融资栏目。</w:t>
      </w:r>
    </w:p>
    <w:p>
      <w:pPr>
        <w:widowControl/>
        <w:jc w:val="left"/>
        <w:rPr>
          <w:rFonts w:ascii="宋体" w:eastAsia="黑体" w:hAnsi="宋体"/>
          <w:b/>
          <w:bCs/>
          <w:kern w:val="44"/>
          <w:sz w:val="28"/>
          <w:szCs w:val="44"/>
        </w:rPr>
      </w:pPr>
      <w:r>
        <w:rPr>
          <w:rFonts w:ascii="宋体" w:eastAsia="黑体" w:hAnsi="宋体"/>
          <w:b/>
          <w:bCs/>
          <w:kern w:val="44"/>
          <w:sz w:val="28"/>
          <w:szCs w:val="44"/>
        </w:rPr>
        <w:br w:type="page"/>
      </w:r>
    </w:p>
    <w:p>
      <w:pPr>
        <w:keepNext/>
        <w:keepLines/>
        <w:spacing w:before="340" w:after="330" w:line="360" w:lineRule="auto"/>
        <w:jc w:val="center"/>
        <w:outlineLvl w:val="0"/>
        <w:rPr>
          <w:rFonts w:ascii="宋体" w:eastAsia="黑体" w:hAnsi="宋体"/>
          <w:b/>
          <w:bCs/>
          <w:kern w:val="44"/>
          <w:sz w:val="28"/>
          <w:szCs w:val="44"/>
        </w:rPr>
      </w:pPr>
      <w:r>
        <w:rPr>
          <w:rFonts w:ascii="宋体" w:eastAsia="黑体" w:hAnsi="宋体" w:hint="eastAsia"/>
          <w:b/>
          <w:bCs/>
          <w:kern w:val="44"/>
          <w:sz w:val="28"/>
          <w:szCs w:val="44"/>
        </w:rPr>
        <w:t>目   录</w:t>
      </w:r>
    </w:p>
    <w:p>
      <w:pPr>
        <w:rPr>
          <w:rFonts w:ascii="Times New Roman" w:hAnsi="Times New Roman"/>
          <w:b/>
          <w:sz w:val="24"/>
          <w:szCs w:val="24"/>
        </w:rPr>
      </w:pPr>
      <w:r>
        <w:rPr>
          <w:rFonts w:ascii="Times New Roman" w:hAnsi="Times New Roman" w:hint="eastAsia"/>
          <w:b/>
          <w:sz w:val="24"/>
          <w:szCs w:val="24"/>
        </w:rPr>
        <w:t>第一册  专用条款</w:t>
      </w:r>
    </w:p>
    <w:p>
      <w:pPr>
        <w:ind w:left="630" w:firstLine="412" w:leftChars="300" w:firstLineChars="196"/>
        <w:rPr>
          <w:rFonts w:ascii="宋体" w:hAnsi="宋体"/>
          <w:szCs w:val="21"/>
        </w:rPr>
      </w:pPr>
      <w:r>
        <w:rPr>
          <w:rFonts w:ascii="宋体" w:hAnsi="宋体" w:hint="eastAsia"/>
          <w:szCs w:val="21"/>
        </w:rPr>
        <w:t>关键信息</w:t>
      </w:r>
    </w:p>
    <w:p>
      <w:pPr>
        <w:ind w:left="630" w:firstLine="412" w:leftChars="300" w:firstLineChars="196"/>
        <w:rPr>
          <w:rFonts w:ascii="宋体" w:hAnsi="宋体"/>
          <w:szCs w:val="21"/>
        </w:rPr>
      </w:pPr>
      <w:r>
        <w:rPr>
          <w:rFonts w:ascii="宋体" w:hAnsi="宋体" w:hint="eastAsia"/>
          <w:szCs w:val="21"/>
        </w:rPr>
        <w:t>第一章  招标公告</w:t>
      </w:r>
    </w:p>
    <w:p>
      <w:pPr>
        <w:ind w:left="630" w:firstLine="412" w:leftChars="300" w:firstLineChars="196"/>
        <w:rPr>
          <w:rFonts w:ascii="宋体" w:hAnsi="宋体"/>
          <w:szCs w:val="21"/>
        </w:rPr>
      </w:pPr>
      <w:r>
        <w:rPr>
          <w:rFonts w:ascii="宋体" w:hAnsi="宋体" w:hint="eastAsia"/>
          <w:szCs w:val="21"/>
        </w:rPr>
        <w:t>第二章  招标项目需求</w:t>
      </w:r>
    </w:p>
    <w:p>
      <w:pPr>
        <w:ind w:left="630" w:firstLine="412" w:leftChars="300" w:firstLineChars="196"/>
        <w:rPr>
          <w:rFonts w:ascii="宋体" w:hAnsi="宋体"/>
          <w:szCs w:val="21"/>
        </w:rPr>
      </w:pPr>
      <w:r>
        <w:rPr>
          <w:rFonts w:ascii="宋体" w:hAnsi="宋体" w:hint="eastAsia"/>
          <w:szCs w:val="21"/>
        </w:rPr>
        <w:t>第三章  投标文件格式、附件</w:t>
      </w:r>
    </w:p>
    <w:p>
      <w:pPr>
        <w:ind w:left="630" w:firstLine="412" w:leftChars="300" w:firstLineChars="196"/>
        <w:rPr>
          <w:rFonts w:ascii="宋体" w:hAnsi="宋体"/>
          <w:szCs w:val="21"/>
        </w:rPr>
      </w:pPr>
      <w:r>
        <w:rPr>
          <w:rFonts w:ascii="宋体" w:hAnsi="宋体" w:hint="eastAsia"/>
          <w:szCs w:val="21"/>
        </w:rPr>
        <w:t>第四章  合同及履约情况反馈格式</w:t>
      </w:r>
    </w:p>
    <w:p>
      <w:pPr>
        <w:ind w:left="630" w:firstLine="412" w:leftChars="300" w:firstLineChars="196"/>
        <w:rPr>
          <w:rFonts w:ascii="宋体" w:hAnsi="宋体"/>
          <w:szCs w:val="21"/>
        </w:rPr>
      </w:pPr>
      <w:r>
        <w:rPr>
          <w:rFonts w:ascii="宋体" w:hAnsi="宋体" w:hint="eastAsia"/>
          <w:szCs w:val="21"/>
        </w:rPr>
        <w:t>第五章  附件</w:t>
      </w:r>
    </w:p>
    <w:p>
      <w:pPr>
        <w:ind w:left="630" w:firstLine="412" w:leftChars="300" w:firstLineChars="196"/>
        <w:rPr>
          <w:rFonts w:ascii="宋体" w:hAnsi="宋体"/>
          <w:szCs w:val="21"/>
        </w:rPr>
      </w:pPr>
    </w:p>
    <w:p>
      <w:pPr>
        <w:rPr>
          <w:rFonts w:ascii="Times New Roman" w:hAnsi="Times New Roman"/>
          <w:b/>
          <w:sz w:val="24"/>
          <w:szCs w:val="24"/>
        </w:rPr>
      </w:pPr>
    </w:p>
    <w:p>
      <w:pPr>
        <w:rPr>
          <w:rFonts w:ascii="Times New Roman" w:hAnsi="Times New Roman"/>
          <w:b/>
          <w:sz w:val="24"/>
          <w:szCs w:val="24"/>
        </w:rPr>
      </w:pPr>
      <w:r>
        <w:rPr>
          <w:rFonts w:ascii="Times New Roman" w:hAnsi="Times New Roman" w:hint="eastAsia"/>
          <w:b/>
          <w:sz w:val="24"/>
          <w:szCs w:val="24"/>
        </w:rPr>
        <w:t>第二册  通用条款</w:t>
      </w:r>
    </w:p>
    <w:p>
      <w:pPr>
        <w:ind w:left="630" w:firstLine="412" w:leftChars="300" w:firstLineChars="196"/>
        <w:rPr>
          <w:rFonts w:ascii="宋体" w:hAnsi="宋体"/>
          <w:szCs w:val="21"/>
        </w:rPr>
      </w:pPr>
      <w:r>
        <w:rPr>
          <w:rFonts w:ascii="宋体" w:hAnsi="宋体" w:hint="eastAsia"/>
          <w:szCs w:val="21"/>
        </w:rPr>
        <w:t>第一章  总则</w:t>
      </w:r>
    </w:p>
    <w:p>
      <w:pPr>
        <w:ind w:left="630" w:firstLine="412" w:leftChars="300" w:firstLineChars="196"/>
        <w:rPr>
          <w:rFonts w:ascii="宋体" w:hAnsi="宋体"/>
          <w:szCs w:val="21"/>
        </w:rPr>
      </w:pPr>
      <w:r>
        <w:rPr>
          <w:rFonts w:ascii="宋体" w:hAnsi="宋体" w:hint="eastAsia"/>
          <w:szCs w:val="21"/>
        </w:rPr>
        <w:t>第二章  招标文件</w:t>
      </w:r>
    </w:p>
    <w:p>
      <w:pPr>
        <w:ind w:left="630" w:firstLine="412" w:leftChars="300" w:firstLineChars="196"/>
        <w:rPr>
          <w:rFonts w:ascii="宋体" w:hAnsi="宋体"/>
          <w:szCs w:val="21"/>
        </w:rPr>
      </w:pPr>
      <w:r>
        <w:rPr>
          <w:rFonts w:ascii="宋体" w:hAnsi="宋体" w:hint="eastAsia"/>
          <w:szCs w:val="21"/>
        </w:rPr>
        <w:t>第三章  投标文件的编制</w:t>
      </w:r>
    </w:p>
    <w:p>
      <w:pPr>
        <w:ind w:left="630" w:firstLine="412" w:leftChars="300" w:firstLineChars="196"/>
        <w:rPr>
          <w:rFonts w:ascii="宋体" w:hAnsi="宋体"/>
          <w:szCs w:val="21"/>
        </w:rPr>
      </w:pPr>
      <w:r>
        <w:rPr>
          <w:rFonts w:ascii="宋体" w:hAnsi="宋体" w:hint="eastAsia"/>
          <w:szCs w:val="21"/>
        </w:rPr>
        <w:t>第四章  投标文件的递交</w:t>
      </w:r>
    </w:p>
    <w:p>
      <w:pPr>
        <w:ind w:left="630" w:firstLine="412" w:leftChars="300" w:firstLineChars="196"/>
        <w:rPr>
          <w:rFonts w:ascii="宋体" w:hAnsi="宋体"/>
          <w:szCs w:val="21"/>
        </w:rPr>
      </w:pPr>
      <w:r>
        <w:rPr>
          <w:rFonts w:ascii="宋体" w:hAnsi="宋体" w:hint="eastAsia"/>
          <w:szCs w:val="21"/>
        </w:rPr>
        <w:t>第五章  开标</w:t>
      </w:r>
    </w:p>
    <w:p>
      <w:pPr>
        <w:ind w:left="630" w:firstLine="412" w:leftChars="300" w:firstLineChars="196"/>
        <w:rPr>
          <w:rFonts w:ascii="宋体" w:hAnsi="宋体"/>
          <w:szCs w:val="21"/>
        </w:rPr>
      </w:pPr>
      <w:r>
        <w:rPr>
          <w:rFonts w:ascii="宋体" w:hAnsi="宋体" w:hint="eastAsia"/>
          <w:szCs w:val="21"/>
        </w:rPr>
        <w:t>第六章  评标要求</w:t>
      </w:r>
    </w:p>
    <w:p>
      <w:pPr>
        <w:ind w:left="630" w:firstLine="412" w:leftChars="300" w:firstLineChars="196"/>
        <w:rPr>
          <w:rFonts w:ascii="宋体" w:hAnsi="宋体"/>
          <w:szCs w:val="21"/>
        </w:rPr>
      </w:pPr>
      <w:r>
        <w:rPr>
          <w:rFonts w:ascii="宋体" w:hAnsi="宋体" w:hint="eastAsia"/>
          <w:szCs w:val="21"/>
        </w:rPr>
        <w:t>第七章  评标程序及评标方法</w:t>
      </w:r>
    </w:p>
    <w:p>
      <w:pPr>
        <w:ind w:left="630" w:firstLine="412" w:leftChars="300" w:firstLineChars="196"/>
        <w:rPr>
          <w:rFonts w:ascii="宋体" w:hAnsi="宋体"/>
          <w:szCs w:val="21"/>
        </w:rPr>
      </w:pPr>
      <w:r>
        <w:rPr>
          <w:rFonts w:ascii="宋体" w:hAnsi="宋体" w:hint="eastAsia"/>
          <w:szCs w:val="21"/>
        </w:rPr>
        <w:t>第八章  定标及公示</w:t>
      </w:r>
    </w:p>
    <w:p>
      <w:pPr>
        <w:ind w:left="630" w:firstLine="412" w:leftChars="300" w:firstLineChars="196"/>
        <w:rPr>
          <w:rFonts w:ascii="宋体" w:hAnsi="宋体"/>
          <w:szCs w:val="21"/>
        </w:rPr>
      </w:pPr>
      <w:r>
        <w:rPr>
          <w:rFonts w:ascii="宋体" w:hAnsi="宋体" w:hint="eastAsia"/>
          <w:szCs w:val="21"/>
        </w:rPr>
        <w:t>第九章  公开招标失败的后续处理</w:t>
      </w:r>
    </w:p>
    <w:p>
      <w:pPr>
        <w:ind w:left="630" w:firstLine="412" w:leftChars="300" w:firstLineChars="196"/>
        <w:rPr>
          <w:rFonts w:ascii="宋体" w:hAnsi="宋体"/>
          <w:szCs w:val="21"/>
        </w:rPr>
      </w:pPr>
      <w:r>
        <w:rPr>
          <w:rFonts w:ascii="宋体" w:hAnsi="宋体" w:hint="eastAsia"/>
          <w:szCs w:val="21"/>
        </w:rPr>
        <w:t>第十章  合同的授予与备案</w:t>
      </w:r>
    </w:p>
    <w:p>
      <w:pPr>
        <w:ind w:left="630" w:firstLine="412" w:leftChars="300" w:firstLineChars="196"/>
        <w:rPr>
          <w:rFonts w:ascii="宋体" w:hAnsi="宋体"/>
          <w:szCs w:val="21"/>
        </w:rPr>
      </w:pPr>
      <w:r>
        <w:rPr>
          <w:rFonts w:ascii="宋体" w:hAnsi="宋体" w:hint="eastAsia"/>
          <w:szCs w:val="21"/>
        </w:rPr>
        <w:t>第十一章  质疑处理</w:t>
      </w:r>
    </w:p>
    <w:p>
      <w:pPr>
        <w:rPr>
          <w:rFonts w:ascii="Times New Roman" w:hAnsi="Times New Roman"/>
          <w:sz w:val="24"/>
          <w:szCs w:val="24"/>
        </w:rPr>
      </w:pPr>
    </w:p>
    <w:p>
      <w:pPr>
        <w:rPr>
          <w:rFonts w:ascii="Times New Roman" w:hAnsi="Times New Roman"/>
          <w:b/>
          <w:szCs w:val="24"/>
        </w:rPr>
      </w:pPr>
      <w:r>
        <w:rPr>
          <w:rFonts w:ascii="Times New Roman" w:hAnsi="Times New Roman" w:hint="eastAsia"/>
          <w:b/>
          <w:szCs w:val="24"/>
        </w:rPr>
        <w:t>备注：</w:t>
      </w:r>
    </w:p>
    <w:p>
      <w:pPr>
        <w:ind w:firstLine="420" w:firstLineChars="200"/>
        <w:rPr>
          <w:rFonts w:ascii="Times New Roman" w:hAnsi="Times New Roman"/>
          <w:b/>
          <w:szCs w:val="24"/>
        </w:rPr>
      </w:pPr>
      <w:r>
        <w:rPr>
          <w:rFonts w:ascii="宋体" w:hAnsi="宋体" w:hint="eastAsia"/>
          <w:szCs w:val="21"/>
        </w:rPr>
        <w:t>1.本招标文件分为第一册“专用条款”和第二册“通用条款”。</w:t>
      </w:r>
    </w:p>
    <w:p>
      <w:pPr>
        <w:spacing w:line="360" w:lineRule="auto"/>
        <w:ind w:firstLine="420" w:firstLineChars="200"/>
        <w:jc w:val="left"/>
        <w:rPr>
          <w:rFonts w:ascii="宋体" w:hAnsi="宋体"/>
          <w:szCs w:val="21"/>
        </w:rPr>
      </w:pPr>
      <w:r>
        <w:rPr>
          <w:rFonts w:ascii="宋体" w:hAnsi="宋体" w:hint="eastAsia"/>
          <w:szCs w:val="21"/>
        </w:rPr>
        <w:t>2.“专用条款”是对本次采购项目的具体要求，包含招标公告、招标项目需求、投标文件格式、合同及履约情况反馈格式等内容。</w:t>
      </w:r>
    </w:p>
    <w:p>
      <w:pPr>
        <w:spacing w:line="360" w:lineRule="auto"/>
        <w:ind w:firstLine="420" w:firstLineChars="200"/>
        <w:jc w:val="left"/>
        <w:rPr>
          <w:rFonts w:ascii="宋体" w:hAnsi="宋体"/>
          <w:szCs w:val="21"/>
        </w:rPr>
      </w:pPr>
      <w:r>
        <w:rPr>
          <w:rFonts w:ascii="宋体" w:hAnsi="宋体" w:hint="eastAsia"/>
          <w:szCs w:val="21"/>
        </w:rPr>
        <w:t>3.“通用条款”是适用于政府采购项目的基础性条款，具有普遍性和通用性。</w:t>
      </w:r>
    </w:p>
    <w:p>
      <w:pPr>
        <w:spacing w:line="360" w:lineRule="auto"/>
        <w:ind w:firstLine="420" w:firstLineChars="200"/>
        <w:jc w:val="left"/>
        <w:rPr>
          <w:rFonts w:ascii="宋体" w:hAnsi="宋体"/>
          <w:szCs w:val="21"/>
        </w:rPr>
      </w:pPr>
      <w:r>
        <w:rPr>
          <w:rFonts w:ascii="宋体" w:hAnsi="宋体" w:hint="eastAsia"/>
          <w:szCs w:val="21"/>
        </w:rPr>
        <w:t>4.当出现“专用条款”和“通用条款”表述不一致或有冲突时，以“专用条款”为准。</w:t>
      </w:r>
    </w:p>
    <w:p>
      <w:pPr>
        <w:rPr>
          <w:rFonts w:ascii="宋体" w:hAnsi="宋体"/>
          <w:szCs w:val="21"/>
        </w:rPr>
      </w:pPr>
    </w:p>
    <w:p>
      <w:pPr>
        <w:widowControl/>
        <w:jc w:val="left"/>
        <w:rPr>
          <w:rFonts w:ascii="宋体" w:eastAsia="黑体" w:hAnsi="宋体"/>
          <w:b/>
          <w:bCs/>
          <w:kern w:val="44"/>
          <w:sz w:val="28"/>
          <w:szCs w:val="44"/>
        </w:rPr>
      </w:pPr>
      <w:r>
        <w:rPr>
          <w:rFonts w:ascii="Times New Roman" w:hAnsi="Times New Roman"/>
          <w:szCs w:val="24"/>
        </w:rPr>
        <w:br w:type="page"/>
      </w:r>
    </w:p>
    <w:p>
      <w:pPr>
        <w:keepNext/>
        <w:keepLines/>
        <w:spacing w:before="340" w:after="330" w:line="360" w:lineRule="auto"/>
        <w:jc w:val="center"/>
        <w:outlineLvl w:val="0"/>
        <w:rPr>
          <w:rFonts w:ascii="宋体" w:eastAsia="黑体" w:hAnsi="宋体"/>
          <w:b/>
          <w:bCs/>
          <w:kern w:val="44"/>
          <w:sz w:val="24"/>
          <w:szCs w:val="44"/>
        </w:rPr>
      </w:pPr>
      <w:r>
        <w:rPr>
          <w:rFonts w:ascii="宋体" w:eastAsia="黑体" w:hAnsi="宋体" w:hint="eastAsia"/>
          <w:b/>
          <w:bCs/>
          <w:kern w:val="44"/>
          <w:sz w:val="28"/>
          <w:szCs w:val="44"/>
        </w:rPr>
        <w:t>第一册  专用条款</w:t>
      </w:r>
    </w:p>
    <w:p>
      <w:pPr>
        <w:keepNext/>
        <w:keepLines/>
        <w:adjustRightInd w:val="0"/>
        <w:spacing w:before="260" w:after="260" w:line="360" w:lineRule="exact"/>
        <w:jc w:val="center"/>
        <w:textAlignment w:val="baseline"/>
        <w:outlineLvl w:val="1"/>
        <w:rPr>
          <w:rFonts w:ascii="宋体" w:hAnsi="宋体"/>
          <w:b/>
          <w:bCs/>
          <w:kern w:val="0"/>
          <w:sz w:val="24"/>
          <w:szCs w:val="20"/>
        </w:rPr>
      </w:pPr>
      <w:r>
        <w:rPr>
          <w:rFonts w:ascii="宋体" w:hAnsi="宋体" w:hint="eastAsia"/>
          <w:b/>
          <w:bCs/>
          <w:kern w:val="0"/>
          <w:sz w:val="24"/>
          <w:szCs w:val="20"/>
        </w:rPr>
        <w:t>第一章  招标公告</w:t>
      </w:r>
    </w:p>
    <w:p>
      <w:pPr>
        <w:spacing w:line="360" w:lineRule="exact"/>
        <w:rPr>
          <w:rFonts w:ascii="宋体" w:hAnsi="宋体"/>
          <w:vanish/>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项目概况:</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cs="宋体" w:hint="eastAsia"/>
          <w:sz w:val="21"/>
          <w:szCs w:val="21"/>
          <w:lang w:eastAsia="zh-CN"/>
        </w:rPr>
        <w:t>宝安区重点区域大气网格化监测分析及精细化管控服务项目</w:t>
      </w:r>
      <w:r>
        <w:rPr>
          <w:rFonts w:ascii="宋体" w:eastAsia="宋体" w:hAnsi="宋体" w:cs="宋体" w:hint="eastAsia"/>
          <w:sz w:val="21"/>
          <w:szCs w:val="21"/>
        </w:rPr>
        <w:t xml:space="preserve">招标项目的潜在投标人应在（本公告附件中）获取招标文件，并于 </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5</w:t>
      </w:r>
      <w:r>
        <w:rPr>
          <w:rFonts w:ascii="宋体" w:eastAsia="宋体" w:hAnsi="宋体" w:cs="宋体" w:hint="eastAsia"/>
          <w:b/>
          <w:sz w:val="21"/>
          <w:szCs w:val="21"/>
          <w:u w:val="single"/>
        </w:rPr>
        <w:t>月</w:t>
      </w:r>
      <w:r>
        <w:rPr>
          <w:rFonts w:cs="宋体" w:hint="eastAsia"/>
          <w:b/>
          <w:sz w:val="21"/>
          <w:szCs w:val="21"/>
          <w:u w:val="single"/>
          <w:lang w:val="en-US" w:eastAsia="zh-CN"/>
        </w:rPr>
        <w:t>27</w:t>
      </w:r>
      <w:r>
        <w:rPr>
          <w:rFonts w:ascii="宋体" w:eastAsia="宋体" w:hAnsi="宋体" w:cs="宋体" w:hint="eastAsia"/>
          <w:b/>
          <w:sz w:val="21"/>
          <w:szCs w:val="21"/>
          <w:u w:val="single"/>
        </w:rPr>
        <w:t>日14:00（北京时间）</w:t>
      </w:r>
      <w:r>
        <w:rPr>
          <w:rFonts w:ascii="宋体" w:eastAsia="宋体" w:hAnsi="宋体" w:cs="宋体" w:hint="eastAsia"/>
          <w:sz w:val="21"/>
          <w:szCs w:val="21"/>
        </w:rPr>
        <w:t xml:space="preserve">前递交投标文件。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一、项目基本情况</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项目编号：</w:t>
      </w:r>
      <w:r>
        <w:rPr>
          <w:rFonts w:cs="宋体" w:hint="eastAsia"/>
          <w:sz w:val="21"/>
          <w:szCs w:val="21"/>
          <w:lang w:eastAsia="zh-CN"/>
        </w:rPr>
        <w:t>SZDL2025000683</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项目名称：</w:t>
      </w:r>
      <w:r>
        <w:rPr>
          <w:rFonts w:cs="宋体" w:hint="eastAsia"/>
          <w:sz w:val="21"/>
          <w:szCs w:val="21"/>
          <w:lang w:eastAsia="zh-CN"/>
        </w:rPr>
        <w:t>宝安区重点区域大气网格化监测分析及精细化管控服务项目</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3</w:t>
      </w:r>
      <w:r>
        <w:rPr>
          <w:rFonts w:ascii="宋体" w:eastAsia="宋体" w:hAnsi="宋体" w:cs="宋体" w:hint="eastAsia"/>
          <w:sz w:val="21"/>
          <w:szCs w:val="21"/>
          <w:lang w:val="en-US" w:eastAsia="zh-CN"/>
        </w:rPr>
        <w:t>.</w:t>
      </w:r>
      <w:r>
        <w:rPr>
          <w:rFonts w:ascii="宋体" w:eastAsia="宋体" w:hAnsi="宋体" w:cs="宋体" w:hint="eastAsia"/>
          <w:sz w:val="21"/>
          <w:szCs w:val="21"/>
        </w:rPr>
        <w:t>预算金额：</w:t>
      </w:r>
      <w:r>
        <w:rPr>
          <w:rFonts w:cs="宋体" w:hint="eastAsia"/>
          <w:sz w:val="21"/>
          <w:szCs w:val="21"/>
          <w:lang w:val="en-US" w:eastAsia="zh-CN"/>
        </w:rPr>
        <w:t>人民币</w:t>
      </w:r>
      <w:r>
        <w:rPr>
          <w:rFonts w:ascii="宋体" w:eastAsia="宋体" w:hAnsi="宋体" w:cs="宋体" w:hint="eastAsia"/>
          <w:sz w:val="21"/>
          <w:szCs w:val="21"/>
        </w:rPr>
        <w:t>3,360,000</w:t>
      </w:r>
      <w:r>
        <w:rPr>
          <w:rFonts w:cs="宋体" w:hint="eastAsia"/>
          <w:sz w:val="21"/>
          <w:szCs w:val="21"/>
          <w:lang w:val="en-US" w:eastAsia="zh-CN"/>
        </w:rPr>
        <w:t>.00</w:t>
      </w:r>
      <w:r>
        <w:rPr>
          <w:rFonts w:cs="宋体" w:hint="eastAsia"/>
          <w:sz w:val="21"/>
          <w:szCs w:val="21"/>
          <w:lang w:eastAsia="zh-CN"/>
        </w:rPr>
        <w:t>元</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4</w:t>
      </w:r>
      <w:r>
        <w:rPr>
          <w:rFonts w:ascii="宋体" w:eastAsia="宋体" w:hAnsi="宋体" w:cs="宋体" w:hint="eastAsia"/>
          <w:sz w:val="21"/>
          <w:szCs w:val="21"/>
          <w:lang w:val="en-US" w:eastAsia="zh-CN"/>
        </w:rPr>
        <w:t>.</w:t>
      </w:r>
      <w:r>
        <w:rPr>
          <w:rFonts w:ascii="宋体" w:eastAsia="宋体" w:hAnsi="宋体" w:cs="宋体" w:hint="eastAsia"/>
          <w:sz w:val="21"/>
          <w:szCs w:val="21"/>
        </w:rPr>
        <w:t>最高限价：</w:t>
      </w:r>
      <w:r>
        <w:rPr>
          <w:rFonts w:cs="宋体" w:hint="eastAsia"/>
          <w:sz w:val="21"/>
          <w:szCs w:val="21"/>
          <w:lang w:val="en-US" w:eastAsia="zh-CN"/>
        </w:rPr>
        <w:t>人民币</w:t>
      </w:r>
      <w:r>
        <w:rPr>
          <w:rFonts w:ascii="宋体" w:eastAsia="宋体" w:hAnsi="宋体" w:cs="宋体" w:hint="eastAsia"/>
          <w:sz w:val="21"/>
          <w:szCs w:val="21"/>
        </w:rPr>
        <w:t>3,360,000</w:t>
      </w:r>
      <w:r>
        <w:rPr>
          <w:rFonts w:cs="宋体" w:hint="eastAsia"/>
          <w:sz w:val="21"/>
          <w:szCs w:val="21"/>
          <w:lang w:val="en-US" w:eastAsia="zh-CN"/>
        </w:rPr>
        <w:t>.00</w:t>
      </w:r>
      <w:r>
        <w:rPr>
          <w:rFonts w:cs="宋体" w:hint="eastAsia"/>
          <w:sz w:val="21"/>
          <w:szCs w:val="21"/>
          <w:lang w:eastAsia="zh-CN"/>
        </w:rPr>
        <w:t>元</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5</w:t>
      </w:r>
      <w:r>
        <w:rPr>
          <w:rFonts w:ascii="宋体" w:eastAsia="宋体" w:hAnsi="宋体" w:cs="宋体" w:hint="eastAsia"/>
          <w:sz w:val="21"/>
          <w:szCs w:val="21"/>
          <w:lang w:val="en-US" w:eastAsia="zh-CN"/>
        </w:rPr>
        <w:t>.</w:t>
      </w:r>
      <w:r>
        <w:rPr>
          <w:rFonts w:ascii="宋体" w:eastAsia="宋体" w:hAnsi="宋体" w:cs="宋体" w:hint="eastAsia"/>
          <w:sz w:val="21"/>
          <w:szCs w:val="21"/>
        </w:rPr>
        <w:t>采购需求：</w:t>
      </w:r>
    </w:p>
    <w:tbl>
      <w:tblPr>
        <w:tblStyle w:val="TableNormal"/>
        <w:tblW w:w="8505" w:type="dxa"/>
        <w:tblInd w:w="60" w:type="dxa"/>
        <w:tblBorders>
          <w:top w:val="outset" w:sz="6" w:space="0" w:color="AAAAAA"/>
          <w:left w:val="outset" w:sz="6" w:space="0" w:color="AAAAAA"/>
          <w:bottom w:val="outset" w:sz="6" w:space="0" w:color="AAAAAA"/>
          <w:right w:val="outset" w:sz="6" w:space="0" w:color="AAAAAA"/>
          <w:insideH w:val="outset" w:sz="6" w:space="0" w:color="AAAAAA"/>
          <w:insideV w:val="outset" w:sz="6" w:space="0" w:color="AAAAAA"/>
        </w:tblBorders>
        <w:tblCellMar>
          <w:top w:w="60" w:type="dxa"/>
          <w:left w:w="60" w:type="dxa"/>
          <w:bottom w:w="60" w:type="dxa"/>
          <w:right w:w="60" w:type="dxa"/>
        </w:tblCellMar>
      </w:tblPr>
      <w:tblGrid>
        <w:gridCol w:w="3261"/>
        <w:gridCol w:w="850"/>
        <w:gridCol w:w="992"/>
        <w:gridCol w:w="2552"/>
        <w:gridCol w:w="850"/>
      </w:tblGrid>
      <w:tr>
        <w:tblPrEx>
          <w:tblW w:w="8505" w:type="dxa"/>
          <w:tblInd w:w="60" w:type="dxa"/>
          <w:tblBorders>
            <w:top w:val="outset" w:sz="6" w:space="0" w:color="AAAAAA"/>
            <w:left w:val="outset" w:sz="6" w:space="0" w:color="AAAAAA"/>
            <w:bottom w:val="outset" w:sz="6" w:space="0" w:color="AAAAAA"/>
            <w:right w:val="outset" w:sz="6" w:space="0" w:color="AAAAAA"/>
            <w:insideH w:val="outset" w:sz="6" w:space="0" w:color="AAAAAA"/>
            <w:insideV w:val="outset" w:sz="6" w:space="0" w:color="AAAAAA"/>
          </w:tblBorders>
          <w:tblCellMar>
            <w:top w:w="60" w:type="dxa"/>
            <w:left w:w="60" w:type="dxa"/>
            <w:bottom w:w="60" w:type="dxa"/>
            <w:right w:w="60" w:type="dxa"/>
          </w:tblCellMar>
        </w:tblPrEx>
        <w:trPr>
          <w:trHeight w:val="462"/>
        </w:trPr>
        <w:tc>
          <w:tcPr>
            <w:tcW w:w="3261"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标的名称</w:t>
            </w:r>
          </w:p>
        </w:tc>
        <w:tc>
          <w:tcPr>
            <w:tcW w:w="850"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数量</w:t>
            </w:r>
          </w:p>
        </w:tc>
        <w:tc>
          <w:tcPr>
            <w:tcW w:w="992"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单位</w:t>
            </w:r>
          </w:p>
        </w:tc>
        <w:tc>
          <w:tcPr>
            <w:tcW w:w="2552"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简要技术需求（服务需求）</w:t>
            </w:r>
          </w:p>
        </w:tc>
        <w:tc>
          <w:tcPr>
            <w:tcW w:w="850" w:type="dxa"/>
            <w:tcBorders>
              <w:top w:val="outset" w:sz="6" w:space="0" w:color="AAAAAA"/>
              <w:left w:val="outset" w:sz="6" w:space="0" w:color="AAAAAA"/>
              <w:bottom w:val="outset" w:sz="6" w:space="0" w:color="AAAAAA"/>
              <w:right w:val="outset" w:sz="6" w:space="0" w:color="AAAAAA"/>
            </w:tcBorders>
            <w:shd w:val="clear" w:color="auto" w:fill="ABCDEF"/>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备注</w:t>
            </w:r>
          </w:p>
        </w:tc>
      </w:tr>
      <w:tr>
        <w:tblPrEx>
          <w:tblW w:w="8505" w:type="dxa"/>
          <w:tblInd w:w="60" w:type="dxa"/>
          <w:tblCellMar>
            <w:top w:w="60" w:type="dxa"/>
            <w:left w:w="60" w:type="dxa"/>
            <w:bottom w:w="60" w:type="dxa"/>
            <w:right w:w="60" w:type="dxa"/>
          </w:tblCellMar>
        </w:tblPrEx>
        <w:trPr>
          <w:trHeight w:val="462"/>
        </w:trPr>
        <w:tc>
          <w:tcPr>
            <w:tcW w:w="3261"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lang w:eastAsia="zh-CN"/>
              </w:rPr>
            </w:pPr>
            <w:r>
              <w:rPr>
                <w:rFonts w:ascii="宋体" w:hAnsi="宋体" w:cs="宋体" w:hint="eastAsia"/>
                <w:sz w:val="21"/>
                <w:szCs w:val="21"/>
                <w:lang w:eastAsia="zh-CN"/>
              </w:rPr>
              <w:t>宝安区重点区域大气网格化监测分析及精细化管控服务项目</w:t>
            </w:r>
          </w:p>
        </w:tc>
        <w:tc>
          <w:tcPr>
            <w:tcW w:w="850"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1</w:t>
            </w:r>
          </w:p>
        </w:tc>
        <w:tc>
          <w:tcPr>
            <w:tcW w:w="992"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项</w:t>
            </w:r>
          </w:p>
        </w:tc>
        <w:tc>
          <w:tcPr>
            <w:tcW w:w="2552"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详见招标文件</w:t>
            </w:r>
          </w:p>
        </w:tc>
        <w:tc>
          <w:tcPr>
            <w:tcW w:w="850" w:type="dxa"/>
            <w:tcBorders>
              <w:top w:val="outset" w:sz="6" w:space="0" w:color="AAAAAA"/>
              <w:left w:val="outset" w:sz="6" w:space="0" w:color="AAAAAA"/>
              <w:bottom w:val="outset" w:sz="6" w:space="0" w:color="AAAAAA"/>
              <w:right w:val="outset" w:sz="6" w:space="0" w:color="AAAAAA"/>
            </w:tcBorders>
            <w:shd w:val="clear" w:color="auto" w:fill="auto"/>
            <w:vAlign w:val="center"/>
          </w:tcPr>
          <w:p>
            <w:pPr>
              <w:keepNext w:val="0"/>
              <w:keepLines w:val="0"/>
              <w:pageBreakBefore w:val="0"/>
              <w:widowControl/>
              <w:kinsoku/>
              <w:wordWrap/>
              <w:overflowPunct/>
              <w:topLinePunct w:val="0"/>
              <w:autoSpaceDE/>
              <w:autoSpaceDN/>
              <w:bidi w:val="0"/>
              <w:spacing w:beforeAutospacing="0" w:afterAutospacing="0" w:line="360" w:lineRule="exact"/>
              <w:jc w:val="center"/>
              <w:textAlignment w:val="auto"/>
              <w:rPr>
                <w:rFonts w:ascii="宋体" w:eastAsia="宋体" w:hAnsi="宋体" w:cs="宋体" w:hint="eastAsia"/>
                <w:sz w:val="21"/>
                <w:szCs w:val="21"/>
              </w:rPr>
            </w:pPr>
            <w:r>
              <w:rPr>
                <w:rFonts w:ascii="宋体" w:eastAsia="宋体" w:hAnsi="宋体" w:cs="宋体" w:hint="eastAsia"/>
                <w:sz w:val="21"/>
                <w:szCs w:val="21"/>
              </w:rPr>
              <w:t>无</w:t>
            </w:r>
          </w:p>
        </w:tc>
      </w:tr>
    </w:tbl>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二、申请人的资格要求：</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满足《中华人民共和国政府采购法》第二十二条规定</w:t>
      </w:r>
      <w:r>
        <w:rPr>
          <w:rFonts w:ascii="宋体" w:eastAsia="宋体" w:hAnsi="宋体" w:cs="宋体" w:hint="eastAsia"/>
          <w:snapToGrid w:val="0"/>
          <w:sz w:val="21"/>
          <w:szCs w:val="21"/>
        </w:rPr>
        <w:t>（须提供具有独立承担民事责任能力的法人或其他组织或个体工商户的营业执照或法人证书等证明材料扫描件以及《</w:t>
      </w:r>
      <w:r>
        <w:rPr>
          <w:rFonts w:ascii="宋体" w:eastAsia="宋体" w:hAnsi="宋体" w:cs="宋体" w:hint="eastAsia"/>
          <w:sz w:val="21"/>
          <w:szCs w:val="21"/>
        </w:rPr>
        <w:t>政府采购投标及履约承诺函</w:t>
      </w:r>
      <w:r>
        <w:rPr>
          <w:rFonts w:ascii="宋体" w:eastAsia="宋体" w:hAnsi="宋体" w:cs="宋体" w:hint="eastAsia"/>
          <w:snapToGrid w:val="0"/>
          <w:sz w:val="21"/>
          <w:szCs w:val="21"/>
        </w:rPr>
        <w:t>》）。如果是分支机构参与投标，还须同时提供其具有独立法人资格的上级主体出具的有效授权书及上级主体的营业执照或法人证书等证明材料扫描件；本项目不接受总公司与分支机构同时参与投标，也不接受同一总公司有两个或以上分支机构参与投标，如出现以上情形，该两家或以上投标人均按无效投标处理</w:t>
      </w:r>
      <w:r>
        <w:rPr>
          <w:rFonts w:ascii="宋体" w:eastAsia="宋体" w:hAnsi="宋体" w:cs="宋体" w:hint="eastAsia"/>
          <w:sz w:val="21"/>
          <w:szCs w:val="21"/>
        </w:rPr>
        <w:t xml:space="preserve">。 </w:t>
      </w:r>
    </w:p>
    <w:p>
      <w:pPr>
        <w:keepNext w:val="0"/>
        <w:keepLines w:val="0"/>
        <w:pageBreakBefore w:val="0"/>
        <w:kinsoku/>
        <w:wordWrap/>
        <w:overflowPunct/>
        <w:topLinePunct w:val="0"/>
        <w:autoSpaceDE/>
        <w:autoSpaceDN/>
        <w:bidi w:val="0"/>
        <w:spacing w:beforeAutospacing="0" w:afterAutospacing="0" w:line="360" w:lineRule="exact"/>
        <w:ind w:firstLine="424" w:firstLineChars="202"/>
        <w:textAlignment w:val="auto"/>
        <w:rPr>
          <w:rFonts w:ascii="宋体" w:eastAsia="宋体" w:hAnsi="宋体" w:cs="宋体" w:hint="eastAsia"/>
          <w:snapToGrid w:val="0"/>
          <w:color w:val="FF0000"/>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落实政府采购政策需满足的资格要求：</w:t>
      </w:r>
      <w:r>
        <w:rPr>
          <w:rFonts w:ascii="宋体" w:eastAsia="宋体" w:hAnsi="宋体" w:cs="宋体" w:hint="eastAsia"/>
          <w:snapToGrid w:val="0"/>
          <w:color w:val="FF0000"/>
          <w:sz w:val="21"/>
          <w:szCs w:val="21"/>
        </w:rPr>
        <w:t>本项目属于专门面向中小微企业采购的项目（提供符合要求的《中小企业声明函》，且供应商属于中型企业、小型企业或微型企业；如供应商为残疾人福利性单位或监狱企业，视同小型、微型企业，提供《残疾人福利性单位声明函》或《监狱企业声明函》及监狱企业证明文件亦视为符合）。</w:t>
      </w:r>
    </w:p>
    <w:p>
      <w:pPr>
        <w:pStyle w:val="NormalWeb"/>
        <w:keepNext w:val="0"/>
        <w:keepLines w:val="0"/>
        <w:pageBreakBefore w:val="0"/>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3</w:t>
      </w:r>
      <w:r>
        <w:rPr>
          <w:rFonts w:ascii="宋体" w:eastAsia="宋体" w:hAnsi="宋体" w:cs="宋体" w:hint="eastAsia"/>
          <w:sz w:val="21"/>
          <w:szCs w:val="21"/>
          <w:lang w:val="en-US" w:eastAsia="zh-CN"/>
        </w:rPr>
        <w:t>.</w:t>
      </w:r>
      <w:r>
        <w:rPr>
          <w:rFonts w:ascii="宋体" w:eastAsia="宋体" w:hAnsi="宋体" w:cs="宋体" w:hint="eastAsia"/>
          <w:sz w:val="21"/>
          <w:szCs w:val="21"/>
        </w:rPr>
        <w:t>本项目的特定资格要求：</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（1）参与本项目采购活动前三年内，在经营活动中没有重大违法记录（须按本项目投标文件格式要求提供《政府采购投标及履约承诺函》）；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（2）参与本项目政府采购活动时不存在被有关部门禁止参与政府采购活动且在有效期内的情况（须按本项目投标文件格式要求提供《政府采购投标及履约承诺函》）；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（3）单位负责人为同一人或者存在直接控股、管理关系的不同供应商，不得参加同一合同项下的政府采购活动（须按本项目投标文件格式要求提供《政府采购投标及履约承诺函》）；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4）除单一来源采购项目外，为采购项目提供整体设计、规范编制或者项目管理、监理、检测等服务的供应商，不得再参加该采购项目的其他采购活动（须按本项目投标文件格式要求提供《政府采购投标及履约承诺函》）；</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lang w:eastAsia="zh-CN"/>
        </w:rPr>
      </w:pPr>
      <w:r>
        <w:rPr>
          <w:rFonts w:ascii="宋体" w:eastAsia="宋体" w:hAnsi="宋体" w:cs="宋体" w:hint="eastAsia"/>
          <w:snapToGrid w:val="0"/>
          <w:color w:val="auto"/>
          <w:sz w:val="21"/>
          <w:szCs w:val="21"/>
        </w:rPr>
        <w:t>（</w:t>
      </w:r>
      <w:r>
        <w:rPr>
          <w:rFonts w:ascii="宋体" w:eastAsia="宋体" w:hAnsi="宋体" w:cs="宋体" w:hint="eastAsia"/>
          <w:snapToGrid w:val="0"/>
          <w:color w:val="auto"/>
          <w:sz w:val="21"/>
          <w:szCs w:val="21"/>
          <w:lang w:val="en-US" w:eastAsia="zh-CN"/>
        </w:rPr>
        <w:t>5</w:t>
      </w:r>
      <w:r>
        <w:rPr>
          <w:rFonts w:ascii="宋体" w:eastAsia="宋体" w:hAnsi="宋体" w:cs="宋体" w:hint="eastAsia"/>
          <w:snapToGrid w:val="0"/>
          <w:color w:val="auto"/>
          <w:sz w:val="21"/>
          <w:szCs w:val="21"/>
        </w:rPr>
        <w:t>）参与本项目政府采购活动不存在与其他采购参加人串通投标，隐瞒真实情况，提供虚假资料等违法违规情形，不存在《深圳市财政局政府采购供应商信用信息管理办法》（深财规〔2023〕3号）列明的严重违法失信行为（须按本项目投标文件格式要求提供《政府采购投标及履约承诺函》）</w:t>
      </w:r>
      <w:r>
        <w:rPr>
          <w:rFonts w:ascii="宋体" w:eastAsia="宋体" w:hAnsi="宋体" w:cs="宋体" w:hint="eastAsia"/>
          <w:snapToGrid w:val="0"/>
          <w:color w:val="auto"/>
          <w:sz w:val="21"/>
          <w:szCs w:val="21"/>
          <w:lang w:eastAsia="zh-CN"/>
        </w:rPr>
        <w:t>；</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lang w:eastAsia="zh-CN"/>
        </w:rPr>
      </w:pPr>
      <w:r>
        <w:rPr>
          <w:rFonts w:ascii="宋体" w:eastAsia="宋体" w:hAnsi="宋体" w:cs="宋体" w:hint="eastAsia"/>
          <w:snapToGrid w:val="0"/>
          <w:color w:val="auto"/>
          <w:sz w:val="21"/>
          <w:szCs w:val="21"/>
        </w:rPr>
        <w:t>（</w:t>
      </w:r>
      <w:r>
        <w:rPr>
          <w:rFonts w:ascii="宋体" w:eastAsia="宋体" w:hAnsi="宋体" w:cs="宋体" w:hint="eastAsia"/>
          <w:snapToGrid w:val="0"/>
          <w:color w:val="auto"/>
          <w:sz w:val="21"/>
          <w:szCs w:val="21"/>
          <w:lang w:val="en-US" w:eastAsia="zh-CN"/>
        </w:rPr>
        <w:t>6</w:t>
      </w:r>
      <w:r>
        <w:rPr>
          <w:rFonts w:ascii="宋体" w:eastAsia="宋体" w:hAnsi="宋体" w:cs="宋体" w:hint="eastAsia"/>
          <w:snapToGrid w:val="0"/>
          <w:color w:val="auto"/>
          <w:sz w:val="21"/>
          <w:szCs w:val="21"/>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须按本项目投标文件格式要求提供《供应商基本情况表》相关信息</w:t>
      </w:r>
      <w:r>
        <w:rPr>
          <w:rFonts w:ascii="宋体" w:eastAsia="宋体" w:hAnsi="宋体" w:cs="宋体" w:hint="eastAsia"/>
          <w:snapToGrid w:val="0"/>
          <w:color w:val="auto"/>
          <w:sz w:val="21"/>
          <w:szCs w:val="21"/>
          <w:lang w:eastAsia="zh-CN"/>
        </w:rPr>
        <w:t>，《供应商基本情况表》相关信息为不公开内容</w:t>
      </w:r>
      <w:r>
        <w:rPr>
          <w:rFonts w:ascii="宋体" w:eastAsia="宋体" w:hAnsi="宋体" w:cs="宋体" w:hint="eastAsia"/>
          <w:snapToGrid w:val="0"/>
          <w:color w:val="auto"/>
          <w:sz w:val="21"/>
          <w:szCs w:val="21"/>
        </w:rPr>
        <w:t>）</w:t>
      </w:r>
      <w:r>
        <w:rPr>
          <w:rFonts w:ascii="宋体" w:eastAsia="宋体" w:hAnsi="宋体" w:cs="宋体" w:hint="eastAsia"/>
          <w:snapToGrid w:val="0"/>
          <w:color w:val="auto"/>
          <w:sz w:val="21"/>
          <w:szCs w:val="21"/>
          <w:lang w:eastAsia="zh-CN"/>
        </w:rPr>
        <w:t>；</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w:t>
      </w:r>
      <w:r>
        <w:rPr>
          <w:rFonts w:ascii="宋体" w:eastAsia="宋体" w:hAnsi="宋体" w:cs="宋体" w:hint="eastAsia"/>
          <w:snapToGrid w:val="0"/>
          <w:color w:val="auto"/>
          <w:sz w:val="21"/>
          <w:szCs w:val="21"/>
          <w:lang w:val="en-US" w:eastAsia="zh-CN"/>
        </w:rPr>
        <w:t>7</w:t>
      </w:r>
      <w:r>
        <w:rPr>
          <w:rFonts w:ascii="宋体" w:eastAsia="宋体" w:hAnsi="宋体" w:cs="宋体" w:hint="eastAsia"/>
          <w:snapToGrid w:val="0"/>
          <w:color w:val="auto"/>
          <w:sz w:val="21"/>
          <w:szCs w:val="21"/>
        </w:rPr>
        <w:t>）未被列入失信被执行人、重大税收违法案件当事人名单及政府采购严重违法失信行为记录名单（信用中国网“信用服务”栏的“重大税收违法失信主体”、“失信被执行人”，中国政府采购网“政府采购严重违法失信行为记录名单”，深圳信用网以及深圳市政府采购监管网为供应商信用信息查询渠道，相关信息以开标当日的查询结果为准。由采购代理机构查询，供应商无需提供证明材料）；</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firstLine="424" w:firstLineChars="202"/>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w:t>
      </w:r>
      <w:r>
        <w:rPr>
          <w:rFonts w:ascii="宋体" w:eastAsia="宋体" w:hAnsi="宋体" w:cs="宋体" w:hint="eastAsia"/>
          <w:snapToGrid w:val="0"/>
          <w:color w:val="auto"/>
          <w:sz w:val="21"/>
          <w:szCs w:val="21"/>
          <w:lang w:val="en-US" w:eastAsia="zh-CN"/>
        </w:rPr>
        <w:t>8</w:t>
      </w:r>
      <w:r>
        <w:rPr>
          <w:rFonts w:ascii="宋体" w:eastAsia="宋体" w:hAnsi="宋体" w:cs="宋体" w:hint="eastAsia"/>
          <w:snapToGrid w:val="0"/>
          <w:color w:val="auto"/>
          <w:sz w:val="21"/>
          <w:szCs w:val="21"/>
        </w:rPr>
        <w:t>）本项目不接受联合体投标，不允许非法分包或转包。</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三、获取招标文件</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时间：</w:t>
      </w:r>
      <w:r>
        <w:rPr>
          <w:rFonts w:ascii="宋体" w:eastAsia="宋体" w:hAnsi="宋体" w:cs="宋体" w:hint="eastAsia"/>
          <w:b/>
          <w:sz w:val="21"/>
          <w:szCs w:val="21"/>
          <w:u w:val="single"/>
        </w:rPr>
        <w:t>自本公告发布之日起至2025年5月27日</w:t>
      </w:r>
      <w:r>
        <w:rPr>
          <w:rFonts w:ascii="宋体" w:eastAsia="宋体" w:hAnsi="宋体" w:cs="宋体" w:hint="eastAsia"/>
          <w:sz w:val="21"/>
          <w:szCs w:val="21"/>
        </w:rPr>
        <w:t xml:space="preserve">。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四、提交投标文件截止时间、开标时间和地点</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投标截止时间：所有投标文件应于</w:t>
      </w:r>
      <w:r>
        <w:rPr>
          <w:rFonts w:ascii="宋体" w:eastAsia="宋体" w:hAnsi="宋体" w:cs="宋体" w:hint="eastAsia"/>
          <w:b/>
          <w:sz w:val="21"/>
          <w:szCs w:val="21"/>
          <w:u w:val="single"/>
        </w:rPr>
        <w:t>2025年5月27日14:00（北京时间）</w:t>
      </w:r>
      <w:r>
        <w:rPr>
          <w:rFonts w:ascii="宋体" w:eastAsia="宋体" w:hAnsi="宋体" w:cs="宋体" w:hint="eastAsia"/>
          <w:sz w:val="21"/>
          <w:szCs w:val="21"/>
        </w:rPr>
        <w:t>之前上传到深圳政府采购智慧平台（http://zfcg.szggzy.com:8081/）。</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开标时间和地点：定于</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5</w:t>
      </w:r>
      <w:r>
        <w:rPr>
          <w:rFonts w:ascii="宋体" w:eastAsia="宋体" w:hAnsi="宋体" w:cs="宋体" w:hint="eastAsia"/>
          <w:b/>
          <w:sz w:val="21"/>
          <w:szCs w:val="21"/>
          <w:u w:val="single"/>
        </w:rPr>
        <w:t>月</w:t>
      </w:r>
      <w:r>
        <w:rPr>
          <w:rFonts w:cs="宋体" w:hint="eastAsia"/>
          <w:b/>
          <w:sz w:val="21"/>
          <w:szCs w:val="21"/>
          <w:u w:val="single"/>
          <w:lang w:val="en-US" w:eastAsia="zh-CN"/>
        </w:rPr>
        <w:t>27</w:t>
      </w:r>
      <w:r>
        <w:rPr>
          <w:rFonts w:ascii="宋体" w:eastAsia="宋体" w:hAnsi="宋体" w:cs="宋体" w:hint="eastAsia"/>
          <w:b/>
          <w:sz w:val="21"/>
          <w:szCs w:val="21"/>
          <w:u w:val="single"/>
        </w:rPr>
        <w:t>日14:00（北京时间）</w:t>
      </w:r>
      <w:r>
        <w:rPr>
          <w:rFonts w:ascii="宋体" w:eastAsia="宋体" w:hAnsi="宋体" w:cs="宋体" w:hint="eastAsia"/>
          <w:sz w:val="21"/>
          <w:szCs w:val="21"/>
        </w:rPr>
        <w:t>，在深圳市中正招标有限公司公开开标。</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b/>
          <w:sz w:val="21"/>
          <w:szCs w:val="21"/>
        </w:rPr>
      </w:pPr>
      <w:r>
        <w:rPr>
          <w:rFonts w:ascii="宋体" w:eastAsia="宋体" w:hAnsi="宋体" w:cs="宋体" w:hint="eastAsia"/>
          <w:b/>
          <w:sz w:val="21"/>
          <w:szCs w:val="21"/>
        </w:rPr>
        <w:t>3</w:t>
      </w:r>
      <w:r>
        <w:rPr>
          <w:rFonts w:ascii="宋体" w:eastAsia="宋体" w:hAnsi="宋体" w:cs="宋体" w:hint="eastAsia"/>
          <w:b/>
          <w:sz w:val="21"/>
          <w:szCs w:val="21"/>
          <w:lang w:val="en-US" w:eastAsia="zh-CN"/>
        </w:rPr>
        <w:t>.</w:t>
      </w:r>
      <w:r>
        <w:rPr>
          <w:rFonts w:ascii="宋体" w:eastAsia="宋体" w:hAnsi="宋体" w:cs="宋体" w:hint="eastAsia"/>
          <w:b/>
          <w:sz w:val="21"/>
          <w:szCs w:val="21"/>
        </w:rPr>
        <w:t>在线解密：投标人须在</w:t>
      </w:r>
      <w:r>
        <w:rPr>
          <w:rFonts w:cs="宋体" w:hint="eastAsia"/>
          <w:b/>
          <w:sz w:val="21"/>
          <w:szCs w:val="21"/>
          <w:u w:val="single"/>
          <w:lang w:eastAsia="zh-CN"/>
        </w:rPr>
        <w:t>2025</w:t>
      </w:r>
      <w:r>
        <w:rPr>
          <w:rFonts w:ascii="宋体" w:eastAsia="宋体" w:hAnsi="宋体" w:cs="宋体" w:hint="eastAsia"/>
          <w:b/>
          <w:sz w:val="21"/>
          <w:szCs w:val="21"/>
          <w:u w:val="single"/>
        </w:rPr>
        <w:t>年</w:t>
      </w:r>
      <w:r>
        <w:rPr>
          <w:rFonts w:cs="宋体" w:hint="eastAsia"/>
          <w:b/>
          <w:sz w:val="21"/>
          <w:szCs w:val="21"/>
          <w:u w:val="single"/>
          <w:lang w:val="en-US" w:eastAsia="zh-CN"/>
        </w:rPr>
        <w:t>5</w:t>
      </w:r>
      <w:r>
        <w:rPr>
          <w:rFonts w:ascii="宋体" w:eastAsia="宋体" w:hAnsi="宋体" w:cs="宋体" w:hint="eastAsia"/>
          <w:b/>
          <w:sz w:val="21"/>
          <w:szCs w:val="21"/>
          <w:u w:val="single"/>
        </w:rPr>
        <w:t>月</w:t>
      </w:r>
      <w:r>
        <w:rPr>
          <w:rFonts w:cs="宋体" w:hint="eastAsia"/>
          <w:b/>
          <w:sz w:val="21"/>
          <w:szCs w:val="21"/>
          <w:u w:val="single"/>
          <w:lang w:val="en-US" w:eastAsia="zh-CN"/>
        </w:rPr>
        <w:t>27</w:t>
      </w:r>
      <w:r>
        <w:rPr>
          <w:rFonts w:ascii="宋体" w:eastAsia="宋体" w:hAnsi="宋体" w:cs="宋体" w:hint="eastAsia"/>
          <w:b/>
          <w:sz w:val="21"/>
          <w:szCs w:val="21"/>
          <w:u w:val="single"/>
        </w:rPr>
        <w:t>日14:00-15:00（北京时间）</w:t>
      </w:r>
      <w:r>
        <w:rPr>
          <w:rFonts w:ascii="宋体" w:eastAsia="宋体" w:hAnsi="宋体" w:cs="宋体" w:hint="eastAsia"/>
          <w:b/>
          <w:sz w:val="21"/>
          <w:szCs w:val="21"/>
        </w:rPr>
        <w:t>期间进行解密，逾期未解密的作无效处理。</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left="420" w:leftChars="200"/>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五、公告期限</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自本公告发布之日起5个工作日。</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0" w:firstLineChars="200"/>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六、其他补充事宜</w:t>
      </w:r>
    </w:p>
    <w:p>
      <w:pPr>
        <w:pStyle w:val="NormalWeb"/>
        <w:spacing w:before="0" w:beforeAutospacing="0" w:after="0" w:afterAutospacing="0" w:line="360" w:lineRule="exact"/>
        <w:ind w:firstLine="424" w:firstLineChars="202"/>
        <w:rPr>
          <w:sz w:val="21"/>
          <w:szCs w:val="21"/>
        </w:rPr>
      </w:pPr>
      <w:r>
        <w:rPr>
          <w:rFonts w:hint="eastAsia"/>
          <w:sz w:val="21"/>
          <w:szCs w:val="21"/>
        </w:rPr>
        <w:t>1.本项目实行网上投标，采用电子投标文件。</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textAlignment w:val="auto"/>
        <w:rPr>
          <w:rFonts w:ascii="宋体" w:eastAsia="宋体" w:hAnsi="宋体" w:cs="宋体" w:hint="eastAsia"/>
          <w:sz w:val="21"/>
          <w:szCs w:val="21"/>
        </w:rPr>
      </w:pPr>
      <w:r>
        <w:rPr>
          <w:rFonts w:ascii="宋体" w:eastAsia="宋体" w:hAnsi="宋体" w:cs="宋体" w:hint="eastAsia"/>
          <w:sz w:val="21"/>
          <w:szCs w:val="21"/>
        </w:rPr>
        <w:t>七、对本次招标提出询问，请按以下方式联系。</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采购人信息 </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left="359" w:firstLine="65" w:leftChars="171" w:firstLineChars="31"/>
        <w:textAlignment w:val="auto"/>
        <w:rPr>
          <w:rFonts w:ascii="宋体" w:eastAsia="宋体" w:hAnsi="宋体" w:cs="宋体" w:hint="eastAsia"/>
          <w:snapToGrid w:val="0"/>
          <w:color w:val="auto"/>
          <w:sz w:val="21"/>
          <w:szCs w:val="21"/>
          <w:lang w:eastAsia="zh-CN"/>
        </w:rPr>
      </w:pPr>
      <w:r>
        <w:rPr>
          <w:rFonts w:ascii="宋体" w:eastAsia="宋体" w:hAnsi="宋体" w:cs="宋体" w:hint="eastAsia"/>
          <w:snapToGrid w:val="0"/>
          <w:color w:val="auto"/>
          <w:sz w:val="21"/>
          <w:szCs w:val="21"/>
        </w:rPr>
        <w:t>名称：</w:t>
      </w:r>
      <w:r>
        <w:rPr>
          <w:rFonts w:ascii="宋体" w:eastAsia="宋体" w:hAnsi="宋体" w:cs="宋体" w:hint="eastAsia"/>
          <w:snapToGrid w:val="0"/>
          <w:color w:val="auto"/>
          <w:sz w:val="21"/>
          <w:szCs w:val="21"/>
          <w:lang w:eastAsia="zh-CN"/>
        </w:rPr>
        <w:t>深圳市生态环境局宝安管理局</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left="359" w:firstLine="65" w:leftChars="171" w:firstLineChars="31"/>
        <w:textAlignment w:val="auto"/>
        <w:rPr>
          <w:rFonts w:ascii="宋体" w:eastAsia="宋体" w:hAnsi="宋体" w:cs="宋体" w:hint="eastAsia"/>
          <w:snapToGrid w:val="0"/>
          <w:color w:val="auto"/>
          <w:sz w:val="21"/>
          <w:szCs w:val="21"/>
        </w:rPr>
      </w:pPr>
      <w:r>
        <w:rPr>
          <w:rFonts w:ascii="宋体" w:eastAsia="宋体" w:hAnsi="宋体" w:cs="宋体" w:hint="eastAsia"/>
          <w:snapToGrid w:val="0"/>
          <w:color w:val="auto"/>
          <w:sz w:val="21"/>
          <w:szCs w:val="21"/>
        </w:rPr>
        <w:t>地址：广东省深圳市宝安区新安二路96号</w:t>
      </w:r>
    </w:p>
    <w:p>
      <w:pPr>
        <w:pStyle w:val="p9"/>
        <w:keepNext w:val="0"/>
        <w:keepLines w:val="0"/>
        <w:pageBreakBefore w:val="0"/>
        <w:kinsoku/>
        <w:wordWrap/>
        <w:overflowPunct/>
        <w:topLinePunct w:val="0"/>
        <w:autoSpaceDE/>
        <w:autoSpaceDN/>
        <w:bidi w:val="0"/>
        <w:adjustRightInd w:val="0"/>
        <w:snapToGrid w:val="0"/>
        <w:spacing w:before="0" w:beforeAutospacing="0" w:after="0" w:afterAutospacing="0" w:line="360" w:lineRule="exact"/>
        <w:ind w:left="359" w:firstLine="65" w:leftChars="171" w:firstLineChars="31"/>
        <w:textAlignment w:val="auto"/>
        <w:rPr>
          <w:rFonts w:ascii="宋体" w:eastAsia="宋体" w:hAnsi="宋体" w:cs="宋体" w:hint="default"/>
          <w:snapToGrid w:val="0"/>
          <w:color w:val="auto"/>
          <w:sz w:val="21"/>
          <w:szCs w:val="21"/>
          <w:lang w:val="en-US"/>
        </w:rPr>
      </w:pPr>
      <w:r>
        <w:rPr>
          <w:rFonts w:ascii="宋体" w:eastAsia="宋体" w:hAnsi="宋体" w:cs="宋体" w:hint="eastAsia"/>
          <w:snapToGrid w:val="0"/>
          <w:color w:val="auto"/>
          <w:sz w:val="21"/>
          <w:szCs w:val="21"/>
        </w:rPr>
        <w:t>联系方式：0755-</w:t>
      </w:r>
      <w:r>
        <w:rPr>
          <w:rFonts w:ascii="宋体" w:eastAsia="宋体" w:hAnsi="宋体" w:cs="宋体" w:hint="eastAsia"/>
          <w:snapToGrid w:val="0"/>
          <w:color w:val="auto"/>
          <w:sz w:val="21"/>
          <w:szCs w:val="21"/>
          <w:lang w:val="en-US" w:eastAsia="zh-CN"/>
        </w:rPr>
        <w:t>27876382</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采购代理机构信息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 xml:space="preserve">名称：深圳市中正招标有限公司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地址：深圳市福田区民田路171号新华保险大厦903</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联系方式：0755-83026699</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3</w:t>
      </w:r>
      <w:r>
        <w:rPr>
          <w:rFonts w:ascii="宋体" w:eastAsia="宋体" w:hAnsi="宋体" w:cs="宋体" w:hint="eastAsia"/>
          <w:sz w:val="21"/>
          <w:szCs w:val="21"/>
          <w:lang w:val="en-US" w:eastAsia="zh-CN"/>
        </w:rPr>
        <w:t>.</w:t>
      </w:r>
      <w:r>
        <w:rPr>
          <w:rFonts w:ascii="宋体" w:eastAsia="宋体" w:hAnsi="宋体" w:cs="宋体" w:hint="eastAsia"/>
          <w:sz w:val="21"/>
          <w:szCs w:val="21"/>
        </w:rPr>
        <w:t xml:space="preserve">项目联系方式 </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lang w:eastAsia="zh-CN"/>
        </w:rPr>
      </w:pPr>
      <w:r>
        <w:rPr>
          <w:rFonts w:ascii="宋体" w:eastAsia="宋体" w:hAnsi="宋体" w:cs="宋体" w:hint="eastAsia"/>
          <w:sz w:val="21"/>
          <w:szCs w:val="21"/>
        </w:rPr>
        <w:t>项目联系人：</w:t>
      </w:r>
      <w:r>
        <w:rPr>
          <w:rFonts w:cs="宋体" w:hint="eastAsia"/>
          <w:sz w:val="21"/>
          <w:szCs w:val="21"/>
          <w:lang w:val="en-US" w:eastAsia="zh-CN"/>
        </w:rPr>
        <w:t>党工</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r>
        <w:rPr>
          <w:rFonts w:ascii="宋体" w:eastAsia="宋体" w:hAnsi="宋体" w:cs="宋体" w:hint="eastAsia"/>
          <w:sz w:val="21"/>
          <w:szCs w:val="21"/>
        </w:rPr>
        <w:t>电话：0755-83026699</w:t>
      </w: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firstLine="424" w:firstLineChars="202"/>
        <w:textAlignment w:val="auto"/>
        <w:rPr>
          <w:rFonts w:ascii="宋体" w:eastAsia="宋体" w:hAnsi="宋体" w:cs="宋体" w:hint="eastAsia"/>
          <w:sz w:val="21"/>
          <w:szCs w:val="21"/>
        </w:rPr>
      </w:pPr>
    </w:p>
    <w:p>
      <w:pPr>
        <w:pStyle w:val="NormalWeb"/>
        <w:keepNext w:val="0"/>
        <w:keepLines w:val="0"/>
        <w:pageBreakBefore w:val="0"/>
        <w:widowControl/>
        <w:kinsoku/>
        <w:wordWrap/>
        <w:overflowPunct/>
        <w:topLinePunct w:val="0"/>
        <w:autoSpaceDE/>
        <w:autoSpaceDN/>
        <w:bidi w:val="0"/>
        <w:spacing w:before="0" w:beforeAutospacing="0" w:after="0" w:afterAutospacing="0" w:line="360" w:lineRule="exact"/>
        <w:ind w:left="0" w:firstLine="368" w:leftChars="0" w:firstLineChars="175"/>
        <w:textAlignment w:val="auto"/>
        <w:rPr>
          <w:rFonts w:ascii="宋体" w:eastAsia="宋体" w:hAnsi="宋体" w:cs="宋体" w:hint="eastAsia"/>
          <w:sz w:val="24"/>
          <w:szCs w:val="24"/>
        </w:rPr>
      </w:pPr>
      <w:r>
        <w:rPr>
          <w:rFonts w:ascii="宋体" w:eastAsia="宋体" w:hAnsi="宋体" w:cs="宋体" w:hint="eastAsia"/>
          <w:b/>
          <w:sz w:val="24"/>
          <w:szCs w:val="24"/>
        </w:rPr>
        <w:t>完整公告内容详见：深圳公共资源交易网（https://www.szggzy.com）</w:t>
      </w:r>
    </w:p>
    <w:p>
      <w:pPr>
        <w:spacing w:line="400" w:lineRule="exact"/>
        <w:jc w:val="right"/>
        <w:rPr>
          <w:rFonts w:ascii="宋体" w:hAnsi="宋体"/>
          <w:szCs w:val="21"/>
        </w:rPr>
      </w:pPr>
    </w:p>
    <w:p>
      <w:pPr>
        <w:rPr>
          <w:rFonts w:ascii="宋体" w:hAnsi="宋体" w:hint="eastAsia"/>
          <w:b/>
          <w:bCs/>
          <w:kern w:val="0"/>
          <w:sz w:val="24"/>
          <w:szCs w:val="20"/>
        </w:rPr>
      </w:pPr>
      <w:r>
        <w:rPr>
          <w:rFonts w:ascii="宋体" w:hAnsi="宋体" w:hint="eastAsia"/>
          <w:b/>
          <w:bCs/>
          <w:kern w:val="0"/>
          <w:sz w:val="24"/>
          <w:szCs w:val="20"/>
        </w:rPr>
        <w:br w:type="page"/>
      </w:r>
    </w:p>
    <w:p>
      <w:pPr>
        <w:keepNext/>
        <w:keepLines/>
        <w:adjustRightInd w:val="0"/>
        <w:spacing w:before="260" w:after="260"/>
        <w:jc w:val="center"/>
        <w:textAlignment w:val="baseline"/>
        <w:outlineLvl w:val="1"/>
        <w:rPr>
          <w:rFonts w:ascii="宋体" w:hAnsi="宋体"/>
          <w:b/>
          <w:bCs/>
          <w:kern w:val="0"/>
          <w:sz w:val="24"/>
          <w:szCs w:val="20"/>
        </w:rPr>
      </w:pPr>
      <w:r>
        <w:rPr>
          <w:rFonts w:ascii="宋体" w:hAnsi="宋体" w:hint="eastAsia"/>
          <w:b/>
          <w:bCs/>
          <w:kern w:val="0"/>
          <w:sz w:val="24"/>
          <w:szCs w:val="20"/>
        </w:rPr>
        <w:t>第二章  招标项目需求</w:t>
      </w:r>
    </w:p>
    <w:p>
      <w:pPr>
        <w:keepNext/>
        <w:keepLines/>
        <w:adjustRightInd w:val="0"/>
        <w:spacing w:before="156" w:beforeLines="50" w:after="156" w:afterLines="50"/>
        <w:jc w:val="center"/>
        <w:textAlignment w:val="baseline"/>
        <w:outlineLvl w:val="1"/>
        <w:rPr>
          <w:rFonts w:ascii="宋体" w:hAnsi="宋体"/>
          <w:b/>
          <w:bCs/>
          <w:kern w:val="0"/>
          <w:sz w:val="28"/>
          <w:szCs w:val="28"/>
        </w:rPr>
      </w:pPr>
      <w:bookmarkStart w:id="0" w:name="_Toc73521635"/>
      <w:bookmarkStart w:id="1" w:name="_Toc60560625"/>
      <w:bookmarkStart w:id="2" w:name="_Toc101074876"/>
      <w:bookmarkStart w:id="3" w:name="_Toc73521547"/>
      <w:bookmarkStart w:id="4" w:name="_Toc100052364"/>
      <w:bookmarkStart w:id="5" w:name="_Toc73518117"/>
      <w:bookmarkStart w:id="6" w:name="_Toc60631620"/>
      <w:bookmarkStart w:id="7" w:name="_Toc73517639"/>
      <w:r>
        <w:rPr>
          <w:rFonts w:ascii="宋体" w:hAnsi="宋体" w:hint="eastAsia"/>
          <w:b/>
          <w:bCs/>
          <w:kern w:val="0"/>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hAnsi="宋体"/>
                <w:b/>
                <w:bCs/>
                <w:szCs w:val="24"/>
              </w:rPr>
            </w:pPr>
            <w:bookmarkEnd w:id="0"/>
            <w:bookmarkEnd w:id="1"/>
            <w:bookmarkEnd w:id="2"/>
            <w:bookmarkEnd w:id="3"/>
            <w:bookmarkEnd w:id="4"/>
            <w:bookmarkEnd w:id="5"/>
            <w:bookmarkEnd w:id="6"/>
            <w:bookmarkEnd w:id="7"/>
            <w:r>
              <w:rPr>
                <w:rFonts w:ascii="宋体" w:hAnsi="宋体" w:hint="eastAsia"/>
                <w:b/>
                <w:bCs/>
                <w:szCs w:val="24"/>
              </w:rPr>
              <w:t>序号</w:t>
            </w:r>
          </w:p>
        </w:tc>
        <w:tc>
          <w:tcPr>
            <w:tcW w:w="2160" w:type="dxa"/>
            <w:vAlign w:val="center"/>
          </w:tcPr>
          <w:p>
            <w:pPr>
              <w:jc w:val="center"/>
              <w:rPr>
                <w:rFonts w:ascii="宋体" w:hAnsi="宋体"/>
                <w:b/>
                <w:bCs/>
                <w:szCs w:val="24"/>
              </w:rPr>
            </w:pPr>
            <w:r>
              <w:rPr>
                <w:rFonts w:ascii="宋体" w:hAnsi="宋体" w:hint="eastAsia"/>
                <w:b/>
                <w:bCs/>
                <w:szCs w:val="24"/>
              </w:rPr>
              <w:t>内   容</w:t>
            </w:r>
          </w:p>
        </w:tc>
        <w:tc>
          <w:tcPr>
            <w:tcW w:w="5400" w:type="dxa"/>
            <w:vAlign w:val="center"/>
          </w:tcPr>
          <w:p>
            <w:pPr>
              <w:jc w:val="center"/>
              <w:rPr>
                <w:rFonts w:ascii="宋体" w:hAnsi="宋体"/>
                <w:b/>
                <w:bCs/>
                <w:szCs w:val="24"/>
              </w:rPr>
            </w:pPr>
            <w:r>
              <w:rPr>
                <w:rFonts w:ascii="宋体" w:hAnsi="宋体" w:hint="eastAsia"/>
                <w:b/>
                <w:bCs/>
                <w:szCs w:val="24"/>
              </w:rPr>
              <w:t>规      定</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szCs w:val="24"/>
              </w:rPr>
            </w:pPr>
            <w:r>
              <w:rPr>
                <w:rFonts w:ascii="宋体" w:hAnsi="宋体" w:hint="eastAsia"/>
                <w:szCs w:val="24"/>
              </w:rPr>
              <w:t>1</w:t>
            </w:r>
          </w:p>
        </w:tc>
        <w:tc>
          <w:tcPr>
            <w:tcW w:w="2160" w:type="dxa"/>
            <w:vAlign w:val="center"/>
          </w:tcPr>
          <w:p>
            <w:pPr>
              <w:jc w:val="center"/>
              <w:rPr>
                <w:rFonts w:ascii="Times New Roman" w:hAnsi="Times New Roman"/>
                <w:szCs w:val="24"/>
              </w:rPr>
            </w:pPr>
            <w:r>
              <w:rPr>
                <w:rFonts w:ascii="Times New Roman" w:hAnsi="Times New Roman" w:hint="eastAsia"/>
                <w:szCs w:val="24"/>
              </w:rPr>
              <w:t>联合体投标</w:t>
            </w:r>
          </w:p>
        </w:tc>
        <w:tc>
          <w:tcPr>
            <w:tcW w:w="5400" w:type="dxa"/>
            <w:vAlign w:val="center"/>
          </w:tcPr>
          <w:p>
            <w:pPr>
              <w:rPr>
                <w:rFonts w:ascii="宋体" w:hAnsi="宋体"/>
                <w:snapToGrid w:val="0"/>
                <w:kern w:val="0"/>
                <w:szCs w:val="32"/>
                <w:lang w:val="zh-CN"/>
              </w:rPr>
            </w:pPr>
            <w:r>
              <w:rPr>
                <w:rFonts w:ascii="宋体" w:hAnsi="宋体" w:hint="eastAsia"/>
                <w:snapToGrid w:val="0"/>
                <w:kern w:val="0"/>
                <w:szCs w:val="32"/>
                <w:lang w:val="zh-CN"/>
              </w:rPr>
              <w:t>见《招标公告》中“项目基本情况”部分的相关内容</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szCs w:val="24"/>
              </w:rPr>
            </w:pPr>
            <w:r>
              <w:rPr>
                <w:rFonts w:ascii="宋体" w:hAnsi="宋体" w:hint="eastAsia"/>
                <w:szCs w:val="24"/>
              </w:rPr>
              <w:t>2</w:t>
            </w:r>
          </w:p>
        </w:tc>
        <w:tc>
          <w:tcPr>
            <w:tcW w:w="2160" w:type="dxa"/>
            <w:vAlign w:val="center"/>
          </w:tcPr>
          <w:p>
            <w:pPr>
              <w:jc w:val="center"/>
              <w:rPr>
                <w:rFonts w:ascii="宋体" w:hAnsi="宋体"/>
                <w:szCs w:val="24"/>
              </w:rPr>
            </w:pPr>
            <w:r>
              <w:rPr>
                <w:rFonts w:ascii="宋体" w:hAnsi="宋体" w:hint="eastAsia"/>
                <w:szCs w:val="24"/>
              </w:rPr>
              <w:t>投标有效期</w:t>
            </w:r>
          </w:p>
        </w:tc>
        <w:tc>
          <w:tcPr>
            <w:tcW w:w="5400" w:type="dxa"/>
            <w:vAlign w:val="center"/>
          </w:tcPr>
          <w:p>
            <w:pPr>
              <w:rPr>
                <w:rFonts w:ascii="宋体" w:hAnsi="宋体"/>
                <w:szCs w:val="24"/>
              </w:rPr>
            </w:pPr>
            <w:r>
              <w:rPr>
                <w:rFonts w:ascii="宋体" w:hAnsi="宋体" w:hint="eastAsia"/>
                <w:szCs w:val="24"/>
                <w:u w:val="single"/>
              </w:rPr>
              <w:t>90</w:t>
            </w:r>
            <w:r>
              <w:rPr>
                <w:rFonts w:ascii="宋体" w:hAnsi="宋体"/>
                <w:szCs w:val="24"/>
                <w:u w:val="single"/>
              </w:rPr>
              <w:t>日历天</w:t>
            </w:r>
            <w:r>
              <w:rPr>
                <w:rFonts w:ascii="宋体" w:hAnsi="宋体"/>
                <w:szCs w:val="24"/>
              </w:rPr>
              <w:t>（从投标截止之日算起）</w:t>
            </w:r>
          </w:p>
        </w:tc>
      </w:tr>
      <w:tr>
        <w:tblPrEx>
          <w:tblW w:w="0" w:type="auto"/>
          <w:jc w:val="center"/>
          <w:tblLayout w:type="fixed"/>
          <w:tblCellMar>
            <w:top w:w="0" w:type="dxa"/>
            <w:left w:w="108" w:type="dxa"/>
            <w:bottom w:w="0" w:type="dxa"/>
            <w:right w:w="108" w:type="dxa"/>
          </w:tblCellMar>
        </w:tblPrEx>
        <w:trPr>
          <w:cantSplit/>
          <w:trHeight w:val="365"/>
          <w:jc w:val="center"/>
        </w:trPr>
        <w:tc>
          <w:tcPr>
            <w:tcW w:w="807" w:type="dxa"/>
            <w:vAlign w:val="center"/>
          </w:tcPr>
          <w:p>
            <w:pPr>
              <w:jc w:val="center"/>
              <w:rPr>
                <w:rFonts w:ascii="宋体" w:hAnsi="宋体"/>
                <w:szCs w:val="24"/>
              </w:rPr>
            </w:pPr>
            <w:r>
              <w:rPr>
                <w:rFonts w:ascii="宋体" w:hAnsi="宋体" w:hint="eastAsia"/>
                <w:szCs w:val="24"/>
              </w:rPr>
              <w:t>3</w:t>
            </w:r>
          </w:p>
        </w:tc>
        <w:tc>
          <w:tcPr>
            <w:tcW w:w="2160" w:type="dxa"/>
            <w:vAlign w:val="center"/>
          </w:tcPr>
          <w:p>
            <w:pPr>
              <w:jc w:val="center"/>
              <w:rPr>
                <w:rFonts w:ascii="宋体" w:hAnsi="宋体"/>
                <w:szCs w:val="24"/>
              </w:rPr>
            </w:pPr>
            <w:r>
              <w:rPr>
                <w:rFonts w:ascii="宋体" w:hAnsi="宋体" w:hint="eastAsia"/>
                <w:szCs w:val="24"/>
              </w:rPr>
              <w:t>投标人的替代方案</w:t>
            </w:r>
          </w:p>
        </w:tc>
        <w:tc>
          <w:tcPr>
            <w:tcW w:w="5400" w:type="dxa"/>
            <w:vAlign w:val="center"/>
          </w:tcPr>
          <w:p>
            <w:pPr>
              <w:rPr>
                <w:rFonts w:ascii="宋体" w:hAnsi="宋体"/>
                <w:szCs w:val="24"/>
              </w:rPr>
            </w:pPr>
            <w:r>
              <w:rPr>
                <w:rFonts w:ascii="宋体" w:hAnsi="宋体" w:hint="eastAsia"/>
                <w:szCs w:val="24"/>
              </w:rPr>
              <w:t>不允许</w:t>
            </w:r>
          </w:p>
        </w:tc>
      </w:tr>
      <w:tr>
        <w:tblPrEx>
          <w:tblW w:w="0" w:type="auto"/>
          <w:jc w:val="center"/>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eastAsia="宋体" w:hAnsi="宋体" w:hint="eastAsia"/>
                <w:szCs w:val="24"/>
                <w:lang w:eastAsia="zh-CN"/>
              </w:rPr>
            </w:pPr>
            <w:r>
              <w:rPr>
                <w:rFonts w:ascii="宋体" w:hAnsi="宋体" w:hint="eastAsia"/>
                <w:szCs w:val="24"/>
                <w:lang w:val="en-US" w:eastAsia="zh-CN"/>
              </w:rPr>
              <w:t>4</w:t>
            </w:r>
          </w:p>
        </w:tc>
        <w:tc>
          <w:tcPr>
            <w:tcW w:w="2160" w:type="dxa"/>
            <w:vAlign w:val="center"/>
          </w:tcPr>
          <w:p>
            <w:pPr>
              <w:jc w:val="center"/>
              <w:rPr>
                <w:rFonts w:ascii="宋体" w:eastAsia="宋体" w:hAnsi="宋体" w:hint="eastAsia"/>
                <w:szCs w:val="24"/>
                <w:lang w:eastAsia="zh-CN"/>
              </w:rPr>
            </w:pPr>
            <w:r>
              <w:rPr>
                <w:rFonts w:ascii="宋体" w:hAnsi="宋体" w:hint="eastAsia"/>
                <w:szCs w:val="24"/>
                <w:lang w:eastAsia="zh-CN"/>
              </w:rPr>
              <w:t>代理服务费</w:t>
            </w:r>
          </w:p>
        </w:tc>
        <w:tc>
          <w:tcPr>
            <w:tcW w:w="5400" w:type="dxa"/>
            <w:vAlign w:val="center"/>
          </w:tcPr>
          <w:p>
            <w:pPr>
              <w:spacing w:line="360" w:lineRule="exact"/>
              <w:rPr>
                <w:rFonts w:asciiTheme="minorEastAsia" w:eastAsiaTheme="minorEastAsia" w:hAnsiTheme="minorEastAsia"/>
                <w:szCs w:val="21"/>
              </w:rPr>
            </w:pPr>
            <w:r>
              <w:rPr>
                <w:rFonts w:asciiTheme="minorEastAsia" w:eastAsiaTheme="minorEastAsia" w:hAnsiTheme="minorEastAsia" w:hint="eastAsia"/>
                <w:szCs w:val="21"/>
              </w:rPr>
              <w:t>按深财购[2018]27号文件规定的代理费用参考标准，向中标供应商收取</w:t>
            </w:r>
            <w:r>
              <w:rPr>
                <w:rFonts w:asciiTheme="minorEastAsia" w:eastAsiaTheme="minorEastAsia" w:hAnsiTheme="minorEastAsia" w:hint="eastAsia"/>
                <w:szCs w:val="21"/>
                <w:lang w:eastAsia="zh-CN"/>
              </w:rPr>
              <w:t>代理服务费</w:t>
            </w:r>
            <w:r>
              <w:rPr>
                <w:rFonts w:asciiTheme="minorEastAsia" w:eastAsiaTheme="minorEastAsia" w:hAnsiTheme="minorEastAsia" w:hint="eastAsia"/>
                <w:szCs w:val="21"/>
              </w:rPr>
              <w:t>，具体如下：</w:t>
            </w:r>
          </w:p>
          <w:p>
            <w:pPr>
              <w:spacing w:line="360" w:lineRule="exact"/>
              <w:rPr>
                <w:rFonts w:asciiTheme="minorEastAsia" w:eastAsiaTheme="minorEastAsia" w:hAnsiTheme="minorEastAsia"/>
                <w:szCs w:val="20"/>
              </w:rPr>
            </w:pPr>
            <w:r>
              <w:rPr>
                <w:rFonts w:ascii="宋体" w:eastAsia="MS Mincho" w:hAnsi="宋体" w:cs="MS Mincho" w:hint="eastAsia"/>
                <w:sz w:val="24"/>
                <w:szCs w:val="24"/>
              </w:rPr>
              <w:t>☑</w:t>
            </w:r>
            <w:r>
              <w:rPr>
                <w:rFonts w:asciiTheme="minorEastAsia" w:eastAsiaTheme="minorEastAsia" w:hAnsiTheme="minorEastAsia" w:hint="eastAsia"/>
                <w:szCs w:val="21"/>
              </w:rPr>
              <w:t>以中标金额作为计算依据</w:t>
            </w:r>
            <w:r>
              <w:rPr>
                <w:rFonts w:asciiTheme="minorEastAsia" w:eastAsiaTheme="minorEastAsia" w:hAnsiTheme="minorEastAsia" w:hint="eastAsia"/>
                <w:szCs w:val="20"/>
              </w:rPr>
              <w:t>，费用下浮</w:t>
            </w:r>
            <w:r>
              <w:rPr>
                <w:rFonts w:asciiTheme="minorEastAsia" w:eastAsiaTheme="minorEastAsia" w:hAnsiTheme="minorEastAsia" w:hint="eastAsia"/>
                <w:szCs w:val="20"/>
                <w:u w:val="single"/>
              </w:rPr>
              <w:t xml:space="preserve">  0  </w:t>
            </w:r>
            <w:r>
              <w:rPr>
                <w:rFonts w:asciiTheme="minorEastAsia" w:eastAsiaTheme="minorEastAsia" w:hAnsiTheme="minorEastAsia" w:hint="eastAsia"/>
                <w:szCs w:val="20"/>
              </w:rPr>
              <w:t>%。</w:t>
            </w:r>
          </w:p>
          <w:p>
            <w:pPr>
              <w:spacing w:line="360" w:lineRule="exact"/>
              <w:rPr>
                <w:rFonts w:ascii="宋体" w:hAnsi="宋体"/>
              </w:rPr>
            </w:pPr>
            <w:r>
              <w:rPr>
                <w:rFonts w:ascii="Times New Roman" w:hAnsi="宋体" w:hint="eastAsia"/>
                <w:szCs w:val="24"/>
              </w:rPr>
              <w:t>□</w:t>
            </w:r>
            <w:r>
              <w:rPr>
                <w:rFonts w:asciiTheme="minorEastAsia" w:eastAsiaTheme="minorEastAsia" w:hAnsiTheme="minorEastAsia" w:hint="eastAsia"/>
                <w:szCs w:val="21"/>
              </w:rPr>
              <w:t>以预算金额（支付上限）作为计算依据</w:t>
            </w:r>
            <w:r>
              <w:rPr>
                <w:rFonts w:asciiTheme="minorEastAsia" w:eastAsiaTheme="minorEastAsia" w:hAnsiTheme="minorEastAsia" w:hint="eastAsia"/>
                <w:szCs w:val="24"/>
              </w:rPr>
              <w:t>，费用下浮</w:t>
            </w:r>
            <w:r>
              <w:rPr>
                <w:rFonts w:asciiTheme="minorEastAsia" w:eastAsiaTheme="minorEastAsia" w:hAnsiTheme="minorEastAsia" w:hint="eastAsia"/>
                <w:szCs w:val="24"/>
                <w:u w:val="single"/>
              </w:rPr>
              <w:t xml:space="preserve">  0  </w:t>
            </w:r>
            <w:r>
              <w:rPr>
                <w:rFonts w:asciiTheme="minorEastAsia" w:eastAsiaTheme="minorEastAsia" w:hAnsiTheme="minorEastAsia" w:hint="eastAsia"/>
                <w:szCs w:val="24"/>
              </w:rPr>
              <w:t>%，收取</w:t>
            </w:r>
            <w:r>
              <w:rPr>
                <w:rFonts w:asciiTheme="minorEastAsia" w:eastAsiaTheme="minorEastAsia" w:hAnsiTheme="minorEastAsia" w:hint="eastAsia"/>
                <w:szCs w:val="24"/>
                <w:lang w:eastAsia="zh-CN"/>
              </w:rPr>
              <w:t>代理服务费</w:t>
            </w:r>
            <w:r>
              <w:rPr>
                <w:rFonts w:asciiTheme="minorEastAsia" w:eastAsiaTheme="minorEastAsia" w:hAnsiTheme="minorEastAsia" w:hint="eastAsia"/>
                <w:szCs w:val="24"/>
              </w:rPr>
              <w:t>：人民币</w:t>
            </w:r>
            <w:r>
              <w:rPr>
                <w:rFonts w:asciiTheme="minorEastAsia" w:eastAsiaTheme="minorEastAsia" w:hAnsiTheme="minorEastAsia" w:hint="eastAsia"/>
                <w:szCs w:val="24"/>
                <w:u w:val="single"/>
              </w:rPr>
              <w:t xml:space="preserve">       </w:t>
            </w:r>
            <w:r>
              <w:rPr>
                <w:rFonts w:asciiTheme="minorEastAsia" w:eastAsiaTheme="minorEastAsia" w:hAnsiTheme="minorEastAsia" w:hint="eastAsia"/>
                <w:szCs w:val="24"/>
              </w:rPr>
              <w:t>元。</w:t>
            </w:r>
          </w:p>
        </w:tc>
      </w:tr>
      <w:tr>
        <w:tblPrEx>
          <w:tblW w:w="0" w:type="auto"/>
          <w:jc w:val="center"/>
          <w:tblLayout w:type="fixed"/>
          <w:tblCellMar>
            <w:top w:w="0" w:type="dxa"/>
            <w:left w:w="108" w:type="dxa"/>
            <w:bottom w:w="0" w:type="dxa"/>
            <w:right w:w="108" w:type="dxa"/>
          </w:tblCellMar>
        </w:tblPrEx>
        <w:trPr>
          <w:cantSplit/>
          <w:trHeight w:val="20"/>
          <w:jc w:val="center"/>
        </w:trPr>
        <w:tc>
          <w:tcPr>
            <w:tcW w:w="807" w:type="dxa"/>
            <w:vAlign w:val="center"/>
          </w:tcPr>
          <w:p>
            <w:pPr>
              <w:jc w:val="center"/>
              <w:rPr>
                <w:rFonts w:ascii="宋体" w:eastAsia="宋体" w:hAnsi="宋体" w:hint="eastAsia"/>
                <w:szCs w:val="24"/>
                <w:lang w:eastAsia="zh-CN"/>
              </w:rPr>
            </w:pPr>
            <w:r>
              <w:rPr>
                <w:rFonts w:ascii="宋体" w:hAnsi="宋体" w:hint="eastAsia"/>
                <w:szCs w:val="24"/>
                <w:lang w:val="en-US" w:eastAsia="zh-CN"/>
              </w:rPr>
              <w:t>5</w:t>
            </w:r>
          </w:p>
        </w:tc>
        <w:tc>
          <w:tcPr>
            <w:tcW w:w="2160" w:type="dxa"/>
            <w:vAlign w:val="center"/>
          </w:tcPr>
          <w:p>
            <w:pPr>
              <w:jc w:val="center"/>
              <w:rPr>
                <w:rFonts w:ascii="宋体" w:hAnsi="宋体"/>
                <w:szCs w:val="24"/>
              </w:rPr>
            </w:pPr>
            <w:r>
              <w:rPr>
                <w:rFonts w:ascii="宋体" w:hAnsi="宋体" w:hint="eastAsia"/>
                <w:szCs w:val="24"/>
              </w:rPr>
              <w:t>履约保证金</w:t>
            </w:r>
          </w:p>
        </w:tc>
        <w:tc>
          <w:tcPr>
            <w:tcW w:w="5400" w:type="dxa"/>
            <w:vAlign w:val="center"/>
          </w:tcPr>
          <w:p>
            <w:pPr>
              <w:spacing w:line="360" w:lineRule="exact"/>
              <w:rPr>
                <w:rFonts w:ascii="宋体" w:hAnsi="宋体"/>
                <w:szCs w:val="24"/>
              </w:rPr>
            </w:pPr>
            <w:r>
              <w:rPr>
                <w:rFonts w:ascii="宋体" w:eastAsia="MS Mincho" w:hAnsi="宋体" w:cs="MS Mincho" w:hint="eastAsia"/>
                <w:sz w:val="24"/>
                <w:szCs w:val="24"/>
              </w:rPr>
              <w:t>☑</w:t>
            </w:r>
            <w:r>
              <w:rPr>
                <w:rFonts w:ascii="宋体" w:hAnsi="宋体" w:hint="eastAsia"/>
                <w:szCs w:val="24"/>
              </w:rPr>
              <w:t>本项目不收取履约保证金。</w:t>
            </w:r>
          </w:p>
          <w:p>
            <w:pPr>
              <w:spacing w:line="360" w:lineRule="exact"/>
              <w:rPr>
                <w:rFonts w:ascii="宋体" w:hAnsi="宋体"/>
                <w:szCs w:val="24"/>
              </w:rPr>
            </w:pPr>
            <w:r>
              <w:rPr>
                <w:rFonts w:ascii="Times New Roman" w:hAnsi="宋体" w:hint="eastAsia"/>
                <w:szCs w:val="24"/>
              </w:rPr>
              <w:t>□</w:t>
            </w:r>
            <w:r>
              <w:rPr>
                <w:rFonts w:ascii="宋体" w:hAnsi="宋体" w:hint="eastAsia"/>
                <w:szCs w:val="24"/>
              </w:rPr>
              <w:t>本项目收取履约保证金数额为合同金额的</w:t>
            </w:r>
            <w:r>
              <w:rPr>
                <w:rFonts w:ascii="宋体" w:hAnsi="宋体" w:hint="eastAsia"/>
                <w:szCs w:val="24"/>
                <w:u w:val="single"/>
              </w:rPr>
              <w:t xml:space="preserve">  </w:t>
            </w:r>
            <w:r>
              <w:rPr>
                <w:rFonts w:ascii="宋体" w:hAnsi="宋体" w:hint="eastAsia"/>
                <w:szCs w:val="24"/>
              </w:rPr>
              <w:t>%（不超过10%）。</w:t>
            </w:r>
          </w:p>
          <w:p>
            <w:pPr>
              <w:spacing w:line="360" w:lineRule="exact"/>
              <w:rPr>
                <w:rFonts w:ascii="宋体" w:hAnsi="宋体"/>
                <w:szCs w:val="24"/>
              </w:rPr>
            </w:pPr>
            <w:r>
              <w:rPr>
                <w:rFonts w:ascii="宋体" w:hAnsi="宋体" w:hint="eastAsia"/>
                <w:szCs w:val="24"/>
              </w:rPr>
              <w:t>根据《深圳市财政局关于进一步优化政府采购营商环境的通知》（深财购〔2021〕31号），政府采购原则上不收取履约保证金；确需收取履约保证金的，应当允许供应商自主选择以支票、汇票、本票、保函等非现金形式缴纳或提交。收取履约保证金的，应当在采购文件中明确履约保证金退还的方式、时间、条件和不予退还的情形，并明确逾期退还履约保证金的违约责任。</w:t>
            </w:r>
          </w:p>
          <w:p>
            <w:pPr>
              <w:spacing w:line="360" w:lineRule="exact"/>
              <w:rPr>
                <w:rFonts w:ascii="宋体" w:hAnsi="宋体"/>
              </w:rPr>
            </w:pPr>
            <w:r>
              <w:rPr>
                <w:rFonts w:ascii="宋体" w:hAnsi="宋体" w:hint="eastAsia"/>
                <w:szCs w:val="24"/>
              </w:rPr>
              <w:t>如中标供应商为</w:t>
            </w:r>
            <w:r>
              <w:rPr>
                <w:rFonts w:ascii="宋体" w:hAnsiTheme="minorHAnsi" w:cs="宋体" w:hint="eastAsia"/>
                <w:kern w:val="0"/>
                <w:szCs w:val="21"/>
              </w:rPr>
              <w:t>中小微企业，则收取的履约保证金的数额不得超过政府采购合同金额的</w:t>
            </w:r>
            <w:r>
              <w:rPr>
                <w:rFonts w:ascii="宋体" w:hAnsiTheme="minorHAnsi" w:cs="宋体"/>
                <w:kern w:val="0"/>
                <w:szCs w:val="21"/>
              </w:rPr>
              <w:t>5%</w:t>
            </w:r>
            <w:r>
              <w:rPr>
                <w:rFonts w:ascii="宋体" w:hAnsiTheme="minorHAnsi" w:cs="宋体" w:hint="eastAsia"/>
                <w:kern w:val="0"/>
                <w:szCs w:val="21"/>
              </w:rPr>
              <w:t>。</w:t>
            </w:r>
          </w:p>
        </w:tc>
      </w:tr>
    </w:tbl>
    <w:p>
      <w:pPr>
        <w:rPr>
          <w:rFonts w:ascii="Times New Roman" w:hAnsi="Times New Roman"/>
          <w:b/>
          <w:szCs w:val="24"/>
        </w:rPr>
      </w:pPr>
      <w:r>
        <w:rPr>
          <w:rFonts w:ascii="Times New Roman" w:hAnsi="Times New Roman" w:hint="eastAsia"/>
          <w:szCs w:val="21"/>
        </w:rPr>
        <w:t xml:space="preserve">    备注：本表为通用条款相关内容的补充和明确，如与通用条款相冲突的以本表为准。</w:t>
      </w:r>
    </w:p>
    <w:p>
      <w:pPr>
        <w:rPr>
          <w:rFonts w:ascii="Times New Roman" w:hAnsi="Times New Roman"/>
          <w:b/>
          <w:szCs w:val="24"/>
        </w:rPr>
      </w:pPr>
    </w:p>
    <w:p>
      <w:pPr>
        <w:keepNext/>
        <w:keepLines/>
        <w:adjustRightInd w:val="0"/>
        <w:spacing w:before="156" w:beforeLines="50" w:after="156" w:afterLines="50"/>
        <w:jc w:val="center"/>
        <w:textAlignment w:val="baseline"/>
        <w:outlineLvl w:val="1"/>
        <w:rPr>
          <w:rFonts w:ascii="宋体" w:eastAsia="宋体" w:hAnsi="宋体" w:cs="Times New Roman" w:hint="eastAsia"/>
          <w:b/>
          <w:bCs/>
          <w:kern w:val="0"/>
          <w:sz w:val="28"/>
          <w:szCs w:val="28"/>
        </w:rPr>
      </w:pPr>
      <w:bookmarkStart w:id="8" w:name="_Toc128884461"/>
      <w:r>
        <w:rPr>
          <w:rFonts w:ascii="宋体" w:eastAsia="宋体" w:hAnsi="宋体" w:cs="Times New Roman" w:hint="eastAsia"/>
          <w:b/>
          <w:bCs/>
          <w:kern w:val="0"/>
          <w:sz w:val="28"/>
          <w:szCs w:val="28"/>
        </w:rPr>
        <w:t>二、实质性条款</w:t>
      </w:r>
    </w:p>
    <w:tbl>
      <w:tblPr>
        <w:tblStyle w:val="TableNormal"/>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7658"/>
      </w:tblGrid>
      <w:tr>
        <w:tblPrEx>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7658" w:type="dxa"/>
            <w:vAlign w:val="center"/>
          </w:tcPr>
          <w:p>
            <w:pPr>
              <w:adjustRightInd w:val="0"/>
              <w:snapToGrid w:val="0"/>
              <w:spacing w:line="360" w:lineRule="auto"/>
              <w:jc w:val="center"/>
              <w:rPr>
                <w:rFonts w:ascii="宋体" w:hAnsi="宋体"/>
                <w:kern w:val="0"/>
                <w:szCs w:val="21"/>
              </w:rPr>
            </w:pPr>
            <w:r>
              <w:rPr>
                <w:rFonts w:ascii="宋体" w:hAnsi="宋体" w:hint="eastAsia"/>
                <w:kern w:val="0"/>
                <w:szCs w:val="21"/>
              </w:rPr>
              <w:t>具体内容</w:t>
            </w:r>
          </w:p>
        </w:tc>
      </w:tr>
      <w:tr>
        <w:tblPrEx>
          <w:tblW w:w="8363" w:type="dxa"/>
          <w:tblInd w:w="392" w:type="dxa"/>
          <w:tblLayout w:type="fixed"/>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hAnsi="宋体"/>
                <w:kern w:val="0"/>
                <w:szCs w:val="21"/>
              </w:rPr>
            </w:pPr>
            <w:r>
              <w:rPr>
                <w:rFonts w:ascii="宋体" w:hAnsi="宋体" w:hint="eastAsia"/>
                <w:kern w:val="0"/>
                <w:szCs w:val="21"/>
              </w:rPr>
              <w:t>1</w:t>
            </w:r>
          </w:p>
        </w:tc>
        <w:tc>
          <w:tcPr>
            <w:tcW w:w="7658" w:type="dxa"/>
            <w:vAlign w:val="center"/>
          </w:tcPr>
          <w:p>
            <w:pPr>
              <w:keepNext/>
              <w:keepLines/>
              <w:tabs>
                <w:tab w:val="left" w:pos="765"/>
              </w:tabs>
              <w:spacing w:line="376" w:lineRule="auto"/>
              <w:outlineLvl w:val="3"/>
              <w:rPr>
                <w:rFonts w:hAnsi="宋体"/>
                <w:kern w:val="0"/>
                <w:szCs w:val="21"/>
              </w:rPr>
            </w:pPr>
            <w:r>
              <w:rPr>
                <w:rFonts w:ascii="宋体" w:eastAsia="宋体" w:hAnsi="宋体" w:cs="宋体" w:hint="eastAsia"/>
                <w:kern w:val="0"/>
                <w:sz w:val="21"/>
                <w:szCs w:val="21"/>
              </w:rPr>
              <w:t>满足本项目</w:t>
            </w:r>
            <w:r>
              <w:rPr>
                <w:rFonts w:ascii="宋体" w:eastAsia="宋体" w:hAnsi="宋体" w:cs="宋体" w:hint="eastAsia"/>
                <w:kern w:val="0"/>
                <w:sz w:val="21"/>
                <w:szCs w:val="21"/>
                <w:lang w:eastAsia="zh-CN"/>
              </w:rPr>
              <w:t>所有</w:t>
            </w:r>
            <w:r>
              <w:rPr>
                <w:rFonts w:ascii="宋体" w:eastAsia="宋体" w:hAnsi="宋体" w:cs="宋体" w:hint="eastAsia"/>
                <w:kern w:val="0"/>
                <w:sz w:val="21"/>
                <w:szCs w:val="21"/>
              </w:rPr>
              <w:t>标★的条款要求</w:t>
            </w:r>
            <w:r>
              <w:rPr>
                <w:rFonts w:ascii="宋体" w:eastAsia="宋体" w:hAnsi="宋体" w:cs="宋体" w:hint="eastAsia"/>
                <w:b/>
                <w:bCs/>
                <w:kern w:val="0"/>
                <w:sz w:val="21"/>
                <w:szCs w:val="21"/>
                <w:lang w:eastAsia="zh-CN"/>
              </w:rPr>
              <w:t>（涉及提供佐证材料的，应按要求提供相应证明材料，任一项未响应或不满足要求的，将导致投标无效。）</w:t>
            </w:r>
          </w:p>
        </w:tc>
      </w:tr>
    </w:tbl>
    <w:p>
      <w:pPr>
        <w:adjustRightInd w:val="0"/>
        <w:snapToGrid w:val="0"/>
        <w:spacing w:line="360" w:lineRule="auto"/>
        <w:ind w:firstLine="420" w:firstLineChars="200"/>
      </w:pPr>
      <w:r>
        <w:rPr>
          <w:rFonts w:ascii="黑体" w:hint="eastAsia"/>
          <w:b/>
          <w:kern w:val="0"/>
          <w:sz w:val="24"/>
        </w:rPr>
        <w:t>注：上表所列内容为不可负偏离的实质性条款。</w:t>
      </w:r>
    </w:p>
    <w:p>
      <w:pPr>
        <w:pStyle w:val="BodyText"/>
        <w:jc w:val="center"/>
        <w:rPr>
          <w:rFonts w:ascii="宋体" w:hAnsi="宋体"/>
          <w:sz w:val="28"/>
          <w:szCs w:val="28"/>
        </w:rPr>
      </w:pPr>
      <w:bookmarkEnd w:id="8"/>
      <w:r>
        <w:rPr>
          <w:rFonts w:ascii="宋体" w:hAnsi="宋体" w:hint="eastAsia"/>
          <w:sz w:val="28"/>
          <w:szCs w:val="28"/>
        </w:rPr>
        <w:t>三、项目概况</w:t>
      </w:r>
    </w:p>
    <w:p>
      <w:pPr>
        <w:pStyle w:val="BodyText"/>
      </w:pPr>
      <w:r>
        <w:rPr>
          <w:rFonts w:hint="eastAsia"/>
        </w:rPr>
        <w:t>（一）采购需求</w:t>
      </w:r>
    </w:p>
    <w:tbl>
      <w:tblPr>
        <w:tblStyle w:val="TableNormal"/>
        <w:tblW w:w="9796" w:type="dxa"/>
        <w:tblInd w:w="0" w:type="dxa"/>
        <w:tblLayout w:type="fixed"/>
        <w:tblCellMar>
          <w:top w:w="15" w:type="dxa"/>
          <w:left w:w="15" w:type="dxa"/>
          <w:bottom w:w="15" w:type="dxa"/>
          <w:right w:w="15" w:type="dxa"/>
        </w:tblCellMar>
      </w:tblPr>
      <w:tblGrid>
        <w:gridCol w:w="866"/>
        <w:gridCol w:w="3685"/>
        <w:gridCol w:w="921"/>
        <w:gridCol w:w="922"/>
        <w:gridCol w:w="1701"/>
        <w:gridCol w:w="1701"/>
      </w:tblGrid>
      <w:tr>
        <w:tblPrEx>
          <w:tblW w:w="9796" w:type="dxa"/>
          <w:tblInd w:w="0" w:type="dxa"/>
          <w:tblLayout w:type="fixed"/>
          <w:tblCellMar>
            <w:top w:w="15" w:type="dxa"/>
            <w:left w:w="15" w:type="dxa"/>
            <w:bottom w:w="15" w:type="dxa"/>
            <w:right w:w="15" w:type="dxa"/>
          </w:tblCellMar>
        </w:tblPrEx>
        <w:trPr>
          <w:trHeight w:val="689"/>
        </w:trPr>
        <w:tc>
          <w:tcPr>
            <w:tcW w:w="866" w:type="dxa"/>
            <w:tcBorders>
              <w:top w:val="single" w:sz="4" w:space="0" w:color="000000"/>
              <w:left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序号</w:t>
            </w:r>
          </w:p>
        </w:tc>
        <w:tc>
          <w:tcPr>
            <w:tcW w:w="3685"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color w:val="FF0000"/>
                <w:szCs w:val="21"/>
              </w:rPr>
            </w:pPr>
            <w:r>
              <w:rPr>
                <w:rFonts w:ascii="宋体" w:hAnsi="宋体" w:cs="宋体" w:hint="eastAsia"/>
                <w:b/>
                <w:color w:val="FF0000"/>
                <w:szCs w:val="21"/>
              </w:rPr>
              <w:t>标的名称</w:t>
            </w:r>
          </w:p>
        </w:tc>
        <w:tc>
          <w:tcPr>
            <w:tcW w:w="92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数量</w:t>
            </w:r>
          </w:p>
        </w:tc>
        <w:tc>
          <w:tcPr>
            <w:tcW w:w="922"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单位</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采购预算金额</w:t>
            </w:r>
          </w:p>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（人民币元）</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b/>
                <w:szCs w:val="21"/>
              </w:rPr>
            </w:pPr>
            <w:r>
              <w:rPr>
                <w:rFonts w:ascii="宋体" w:hAnsi="宋体" w:cs="宋体" w:hint="eastAsia"/>
                <w:b/>
                <w:szCs w:val="21"/>
              </w:rPr>
              <w:t>备注</w:t>
            </w:r>
          </w:p>
        </w:tc>
      </w:tr>
      <w:tr>
        <w:tblPrEx>
          <w:tblW w:w="9796" w:type="dxa"/>
          <w:tblInd w:w="0" w:type="dxa"/>
          <w:tblLayout w:type="fixed"/>
          <w:tblCellMar>
            <w:top w:w="15" w:type="dxa"/>
            <w:left w:w="15" w:type="dxa"/>
            <w:bottom w:w="15" w:type="dxa"/>
            <w:right w:w="15" w:type="dxa"/>
          </w:tblCellMar>
        </w:tblPrEx>
        <w:trPr>
          <w:trHeight w:val="799"/>
        </w:trPr>
        <w:tc>
          <w:tcPr>
            <w:tcW w:w="866"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Times New Roman" w:hAnsi="Times New Roman" w:hint="eastAsia"/>
                <w:szCs w:val="24"/>
              </w:rPr>
              <w:t>1</w:t>
            </w:r>
          </w:p>
        </w:tc>
        <w:tc>
          <w:tcPr>
            <w:tcW w:w="3685"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eastAsia="宋体" w:hAnsi="宋体" w:cs="宋体" w:hint="eastAsia"/>
                <w:szCs w:val="21"/>
                <w:lang w:eastAsia="zh-CN"/>
              </w:rPr>
            </w:pPr>
            <w:r>
              <w:rPr>
                <w:rFonts w:ascii="宋体" w:hAnsi="宋体" w:hint="eastAsia"/>
                <w:snapToGrid w:val="0"/>
                <w:szCs w:val="21"/>
                <w:lang w:eastAsia="zh-CN"/>
              </w:rPr>
              <w:t>宝安区重点区域大气网格化监测分析及精细化管控服务项目</w:t>
            </w:r>
          </w:p>
        </w:tc>
        <w:tc>
          <w:tcPr>
            <w:tcW w:w="92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宋体" w:hAnsi="宋体" w:cs="宋体" w:hint="eastAsia"/>
                <w:szCs w:val="21"/>
              </w:rPr>
              <w:t>1</w:t>
            </w:r>
          </w:p>
        </w:tc>
        <w:tc>
          <w:tcPr>
            <w:tcW w:w="922"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宋体" w:hAnsi="宋体" w:cs="宋体" w:hint="eastAsia"/>
                <w:szCs w:val="21"/>
              </w:rPr>
              <w:t>项</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eastAsia="宋体" w:hAnsi="宋体" w:cs="宋体" w:hint="default"/>
                <w:szCs w:val="21"/>
                <w:lang w:val="en-US" w:eastAsia="zh-CN"/>
              </w:rPr>
            </w:pPr>
            <w:r>
              <w:rPr>
                <w:rFonts w:ascii="宋体" w:hAnsi="宋体" w:cs="宋体" w:hint="eastAsia"/>
                <w:szCs w:val="21"/>
              </w:rPr>
              <w:t>3,360,000</w:t>
            </w:r>
            <w:r>
              <w:rPr>
                <w:rFonts w:ascii="宋体" w:hAnsi="宋体" w:cs="宋体" w:hint="eastAsia"/>
                <w:szCs w:val="21"/>
                <w:lang w:val="en-US" w:eastAsia="zh-CN"/>
              </w:rPr>
              <w:t>.00</w:t>
            </w:r>
          </w:p>
        </w:tc>
        <w:tc>
          <w:tcPr>
            <w:tcW w:w="1701" w:type="dxa"/>
            <w:tcBorders>
              <w:top w:val="single" w:sz="4" w:space="0" w:color="000000"/>
              <w:left w:val="single" w:sz="4" w:space="0" w:color="000000"/>
              <w:bottom w:val="single" w:sz="4" w:space="0" w:color="000000"/>
              <w:right w:val="single" w:sz="4" w:space="0" w:color="000000"/>
            </w:tcBorders>
            <w:vAlign w:val="center"/>
          </w:tcPr>
          <w:p>
            <w:pPr>
              <w:widowControl/>
              <w:adjustRightInd w:val="0"/>
              <w:snapToGrid w:val="0"/>
              <w:spacing w:line="360" w:lineRule="auto"/>
              <w:jc w:val="center"/>
              <w:textAlignment w:val="center"/>
              <w:rPr>
                <w:rFonts w:ascii="宋体" w:hAnsi="宋体" w:cs="宋体"/>
                <w:szCs w:val="21"/>
              </w:rPr>
            </w:pPr>
            <w:r>
              <w:rPr>
                <w:rFonts w:ascii="宋体" w:hAnsi="宋体" w:cs="宋体" w:hint="eastAsia"/>
                <w:szCs w:val="21"/>
              </w:rPr>
              <w:t>无</w:t>
            </w:r>
          </w:p>
        </w:tc>
      </w:tr>
    </w:tbl>
    <w:p>
      <w:pPr>
        <w:pStyle w:val="BodyText"/>
      </w:pPr>
      <w:r>
        <w:rPr>
          <w:rFonts w:hint="eastAsia"/>
        </w:rPr>
        <w:t>（二）项目背景</w:t>
      </w:r>
    </w:p>
    <w:p>
      <w:pPr>
        <w:spacing w:line="360" w:lineRule="auto"/>
        <w:ind w:firstLine="424" w:firstLineChars="202"/>
        <w:rPr>
          <w:b w:val="0"/>
          <w:sz w:val="21"/>
          <w:szCs w:val="21"/>
        </w:rPr>
      </w:pPr>
      <w:r>
        <w:rPr>
          <w:rFonts w:ascii="宋体" w:hAnsi="宋体" w:hint="eastAsia"/>
          <w:szCs w:val="21"/>
        </w:rPr>
        <w:t>近年来宝安区持续推进大气污染防治工作，空气质量显著改善。然而，由于气象条件不利、扬尘污染反弹、考核目标加严等原因，当前宝安区的大气污染防治形势仍然十分严峻。面对突出的扬尘污染问题，传统人工巡查难以应对高频次、多场景的监管压力，亟需借助AI技术提升智慧监管能力，因此本项目计划在重点区域提供基于道路、泥头车、场站和工地的AI管控服务，从而快速识别和溯源处理突发性污染问题，实现重点区域的精细化管控。</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备注：</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1、本项目需求中出现的工艺、材料、设备或参照的品牌等仅为方便描述而没有限制性，投标人可以在其提供的文件资料中选用替代标准，但这些替代标准要优于或相当于项目需求中要求的标准。</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2、如要求提供证明材料，投标文件需提供相应证明材料扫描件（或截图等）并注明证明材料在投标文件中的具体位置，未按要求提供证明材料或未注明证明材料的具体位置或提供的证明资料显示不符合招标文件要求、模糊不清无法判断或未显示是否满足招标文件要求的，均视为负偏离；未要求提供相应证明材料的，投标人可以不提供，如果投标人提供了相应的证明材料，则按照上述对应情形处理；投标人提供多份证明材料且证明材料信息相互冲突的，以不利于投标人的那份证明材料作为判断是否符合采购需求的响应内容。</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rPr>
        <w:t>3、投标人提供证书或检测报告等证明材料的，颁发证书、出具报告的机构须是合法设立的机构，且具有颁发相应证书或者出具相应报告的资质。</w:t>
      </w:r>
    </w:p>
    <w:p>
      <w:pPr>
        <w:autoSpaceDE w:val="0"/>
        <w:autoSpaceDN w:val="0"/>
        <w:adjustRightInd w:val="0"/>
        <w:spacing w:line="360" w:lineRule="auto"/>
        <w:ind w:firstLine="370" w:firstLineChars="176"/>
        <w:jc w:val="left"/>
        <w:rPr>
          <w:rFonts w:ascii="仿宋_GB2312" w:eastAsia="仿宋_GB2312" w:hAnsi="Times New Roman"/>
          <w:b/>
          <w:sz w:val="24"/>
          <w:szCs w:val="24"/>
        </w:rPr>
      </w:pPr>
      <w:r>
        <w:rPr>
          <w:rFonts w:ascii="仿宋_GB2312" w:eastAsia="仿宋_GB2312" w:hAnsi="Times New Roman" w:hint="eastAsia"/>
          <w:b/>
          <w:sz w:val="24"/>
          <w:szCs w:val="24"/>
          <w:highlight w:val="yellow"/>
        </w:rPr>
        <w:t>4、加注★的条款为不可负偏离的实质性条款，任一项未响应或不满足要求的，将导致投标无效。</w:t>
      </w:r>
    </w:p>
    <w:p>
      <w:pPr>
        <w:autoSpaceDE w:val="0"/>
        <w:autoSpaceDN w:val="0"/>
        <w:adjustRightInd w:val="0"/>
        <w:spacing w:line="360" w:lineRule="auto"/>
        <w:ind w:firstLine="370" w:firstLineChars="176"/>
        <w:jc w:val="left"/>
        <w:rPr>
          <w:rFonts w:ascii="宋体" w:hAnsi="宋体"/>
          <w:b/>
          <w:bCs/>
          <w:kern w:val="0"/>
          <w:sz w:val="24"/>
          <w:szCs w:val="20"/>
        </w:rPr>
      </w:pPr>
    </w:p>
    <w:p>
      <w:pPr>
        <w:keepNext/>
        <w:keepLines/>
        <w:adjustRightInd w:val="0"/>
        <w:spacing w:before="156" w:beforeLines="50" w:after="156" w:afterLines="50"/>
        <w:jc w:val="center"/>
        <w:textAlignment w:val="baseline"/>
        <w:outlineLvl w:val="1"/>
        <w:rPr>
          <w:rFonts w:ascii="宋体" w:hAnsi="宋体"/>
          <w:b/>
          <w:bCs/>
          <w:kern w:val="0"/>
          <w:sz w:val="28"/>
          <w:szCs w:val="28"/>
        </w:rPr>
      </w:pPr>
      <w:r>
        <w:rPr>
          <w:rFonts w:ascii="宋体" w:hAnsi="宋体" w:hint="eastAsia"/>
          <w:b/>
          <w:bCs/>
          <w:kern w:val="0"/>
          <w:sz w:val="28"/>
          <w:szCs w:val="28"/>
        </w:rPr>
        <w:t>四、项目服务要求</w:t>
      </w:r>
    </w:p>
    <w:p>
      <w:pPr>
        <w:spacing w:line="360" w:lineRule="auto"/>
        <w:ind w:firstLine="420" w:firstLineChars="200"/>
        <w:jc w:val="left"/>
        <w:rPr>
          <w:rFonts w:ascii="宋体" w:hAnsi="宋体" w:hint="eastAsia"/>
          <w:b/>
          <w:bCs/>
          <w:szCs w:val="21"/>
        </w:rPr>
      </w:pPr>
      <w:r>
        <w:rPr>
          <w:rFonts w:ascii="宋体" w:hAnsi="宋体" w:hint="eastAsia"/>
          <w:b/>
          <w:bCs/>
          <w:szCs w:val="21"/>
          <w:lang w:eastAsia="zh-CN"/>
        </w:rPr>
        <w:t>（</w:t>
      </w:r>
      <w:r>
        <w:rPr>
          <w:rFonts w:ascii="宋体" w:hAnsi="宋体" w:hint="eastAsia"/>
          <w:b/>
          <w:bCs/>
          <w:szCs w:val="21"/>
          <w:lang w:val="en-US" w:eastAsia="zh-CN"/>
        </w:rPr>
        <w:t>一</w:t>
      </w:r>
      <w:r>
        <w:rPr>
          <w:rFonts w:ascii="宋体" w:hAnsi="宋体" w:hint="eastAsia"/>
          <w:b/>
          <w:bCs/>
          <w:szCs w:val="21"/>
          <w:lang w:eastAsia="zh-CN"/>
        </w:rPr>
        <w:t>）</w:t>
      </w:r>
      <w:r>
        <w:rPr>
          <w:rFonts w:ascii="宋体" w:hAnsi="宋体" w:hint="eastAsia"/>
          <w:b/>
          <w:bCs/>
          <w:szCs w:val="21"/>
        </w:rPr>
        <w:t>工作目标</w:t>
      </w:r>
    </w:p>
    <w:p>
      <w:pPr>
        <w:spacing w:line="360" w:lineRule="auto"/>
        <w:ind w:firstLine="420" w:firstLineChars="200"/>
        <w:jc w:val="left"/>
        <w:rPr>
          <w:rFonts w:ascii="宋体" w:hAnsi="宋体" w:hint="eastAsia"/>
          <w:szCs w:val="21"/>
        </w:rPr>
      </w:pPr>
      <w:r>
        <w:rPr>
          <w:rFonts w:ascii="宋体" w:hAnsi="宋体" w:hint="eastAsia"/>
          <w:szCs w:val="21"/>
        </w:rPr>
        <w:t>在重点区域提供基于道路、泥头车、场站和工地的AI管控服务，快速识别突发性污染问题并溯源处理，结合空气质量与突出问题的分析，对重点街道开展深入帮扶服务，全面提升重点区域大气污染智慧监管调度能力和大气污染防治的精细化管理水平，为宝安区冲刺“十四五”、开启“十五五”大气污染防治工作提供技术支持。</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w:t>
      </w:r>
      <w:r>
        <w:rPr>
          <w:rFonts w:ascii="宋体" w:hAnsi="宋体" w:hint="eastAsia"/>
          <w:b/>
          <w:bCs/>
          <w:szCs w:val="21"/>
          <w:highlight w:val="yellow"/>
          <w:lang w:eastAsia="zh-CN"/>
        </w:rPr>
        <w:t>（</w:t>
      </w:r>
      <w:r>
        <w:rPr>
          <w:rFonts w:ascii="宋体" w:hAnsi="宋体" w:hint="eastAsia"/>
          <w:b/>
          <w:bCs/>
          <w:szCs w:val="21"/>
          <w:highlight w:val="yellow"/>
          <w:lang w:val="en-US" w:eastAsia="zh-CN"/>
        </w:rPr>
        <w:t>二</w:t>
      </w:r>
      <w:r>
        <w:rPr>
          <w:rFonts w:ascii="宋体" w:hAnsi="宋体" w:hint="eastAsia"/>
          <w:b/>
          <w:bCs/>
          <w:szCs w:val="21"/>
          <w:highlight w:val="yellow"/>
          <w:lang w:eastAsia="zh-CN"/>
        </w:rPr>
        <w:t>）</w:t>
      </w:r>
      <w:r>
        <w:rPr>
          <w:rFonts w:ascii="宋体" w:hAnsi="宋体" w:hint="eastAsia"/>
          <w:b/>
          <w:bCs/>
          <w:szCs w:val="21"/>
          <w:highlight w:val="yellow"/>
        </w:rPr>
        <w:t>服务内容</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lang w:val="en-US" w:eastAsia="zh-CN"/>
        </w:rPr>
        <w:t>1、</w:t>
      </w:r>
      <w:r>
        <w:rPr>
          <w:rFonts w:ascii="宋体" w:hAnsi="宋体" w:hint="eastAsia"/>
          <w:b/>
          <w:bCs/>
          <w:szCs w:val="21"/>
          <w:highlight w:val="yellow"/>
        </w:rPr>
        <w:t>重点道路抑尘保湿AI智能管控服务</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以各街道“一街一站”附近道路为重点进行踏勘选点，提供10套道路抑尘保湿AI视频监控服务，对道路的湿润情况、洒水作业车辆类别进行判断和记录，从而实现对道路湿润时段、湿润时长占比、洒水作业情况的精准掌握和统计。并基于AI识别数据，对抑尘保湿作业频次、作业时段提出针对性调整建议，为建立和完善道路抑尘保湿工作的闭环服务流程、统筹调度各街道开展抑尘保湿作业、大气污染预防预警等工作提供技术支持，解决现有人工巡查无法全天候进行、调度指挥时效性低的痛点。</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lang w:val="en-US" w:eastAsia="zh-CN"/>
        </w:rPr>
        <w:t>2、</w:t>
      </w:r>
      <w:r>
        <w:rPr>
          <w:rFonts w:ascii="宋体" w:hAnsi="宋体" w:hint="eastAsia"/>
          <w:b/>
          <w:bCs/>
          <w:szCs w:val="21"/>
          <w:highlight w:val="yellow"/>
        </w:rPr>
        <w:t>重点道路泥头车AI智能管控服务</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聚焦全区泥头车主要通行道路，现场踏勘选点，提供7套道路泥头车AI视频监控服务，对过往泥头车未密闭等情况进行判断和记录，及时发现和记录泥头车问题，从而实现对道路泥头车扬尘污染情况的精准掌握和统计，为建立和完善泥头车扬尘防治工作的闭环服务流程、统筹开展泥头车扬尘污染防治、大气污染预防预警等工作提供技术支持，协助解决现有泥头车污染道路监管难、取证难的痛点。</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lang w:val="en-US" w:eastAsia="zh-CN"/>
        </w:rPr>
        <w:t>3、</w:t>
      </w:r>
      <w:r>
        <w:rPr>
          <w:rFonts w:ascii="宋体" w:hAnsi="宋体" w:hint="eastAsia"/>
          <w:b/>
          <w:bCs/>
          <w:szCs w:val="21"/>
          <w:highlight w:val="yellow"/>
        </w:rPr>
        <w:t>重点场站扬尘AI智能管控服务</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以各街道“一街一站”附近场站和工地、扬尘污染问题突出的场站和工地为重点，现场踏勘选点，提供25套场站扬尘AI视频监控服务，对不同场站和工地的起尘情况进行判断和记录，及时发现和记录场站和工地扬尘污染问题，从而实现对场站和工地起尘情况的精准掌握和统计，为建立和完善场站和工地扬尘防治工作的闭环服务流程、统筹开展场站和工地扬尘污染防治、大气污染预防预警等工作提供技术支持，解决现有人工巡查耗人多、效率低的痛点。</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lang w:val="en-US" w:eastAsia="zh-CN"/>
        </w:rPr>
        <w:t>4、</w:t>
      </w:r>
      <w:r>
        <w:rPr>
          <w:rFonts w:ascii="宋体" w:hAnsi="宋体" w:hint="eastAsia"/>
          <w:b/>
          <w:bCs/>
          <w:szCs w:val="21"/>
          <w:highlight w:val="yellow"/>
        </w:rPr>
        <w:t>街道精细化帮扶服务</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在AI监控和闭环服务流程的基础上，对道路抑尘保湿、泥头车、场站扬尘识别情况进行线上分析，定期梳理污染热点区域，线下进行溯源分析，确定污染高发点位与污染问题，助力街道明确重点监管对象。拍摄、调查、制作重点区域污染源全景图进行可视化展示。此外，以福永、福海、沙井、新桥、石岩5个街道（可根据市生态环境局宝安管理局安排进行调整）为对象，研判形势、提出对策，为开展街道专题形势分析和精细化治理提供技术帮扶。</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w:t>
      </w:r>
      <w:r>
        <w:rPr>
          <w:rFonts w:ascii="宋体" w:hAnsi="宋体" w:hint="eastAsia"/>
          <w:b/>
          <w:bCs/>
          <w:szCs w:val="21"/>
          <w:highlight w:val="yellow"/>
          <w:lang w:eastAsia="zh-CN"/>
        </w:rPr>
        <w:t>（</w:t>
      </w:r>
      <w:r>
        <w:rPr>
          <w:rFonts w:ascii="宋体" w:hAnsi="宋体" w:hint="eastAsia"/>
          <w:b/>
          <w:bCs/>
          <w:szCs w:val="21"/>
          <w:highlight w:val="yellow"/>
          <w:lang w:val="en-US" w:eastAsia="zh-CN"/>
        </w:rPr>
        <w:t>三</w:t>
      </w:r>
      <w:r>
        <w:rPr>
          <w:rFonts w:ascii="宋体" w:hAnsi="宋体" w:hint="eastAsia"/>
          <w:b/>
          <w:bCs/>
          <w:szCs w:val="21"/>
          <w:highlight w:val="yellow"/>
          <w:lang w:eastAsia="zh-CN"/>
        </w:rPr>
        <w:t>）</w:t>
      </w:r>
      <w:r>
        <w:rPr>
          <w:rFonts w:ascii="宋体" w:hAnsi="宋体" w:hint="eastAsia"/>
          <w:b/>
          <w:bCs/>
          <w:szCs w:val="21"/>
          <w:highlight w:val="yellow"/>
        </w:rPr>
        <w:t>提交成果</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（1）重点道路抑尘保湿AI智能管控点位现场踏勘与布点技术报告（1份）；</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（2）重点道路泥头车AI智能管控点位现场踏勘与布点技术报告（1份）；</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（3）重点场站扬尘AI智能管控点位现场踏勘与布点技术报告（1份）；</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（4）AI智能监管服务技术报告（月报12份，年报1份）；</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（5）重点区域污染源全景分布图（1份，包含至少10个点位）；</w:t>
      </w:r>
    </w:p>
    <w:p>
      <w:pPr>
        <w:spacing w:line="360" w:lineRule="auto"/>
        <w:ind w:firstLine="420" w:firstLineChars="200"/>
        <w:jc w:val="left"/>
        <w:rPr>
          <w:rFonts w:ascii="宋体" w:hAnsi="宋体" w:hint="eastAsia"/>
          <w:b/>
          <w:bCs/>
          <w:szCs w:val="21"/>
          <w:highlight w:val="yellow"/>
        </w:rPr>
      </w:pPr>
      <w:r>
        <w:rPr>
          <w:rFonts w:ascii="宋体" w:hAnsi="宋体" w:hint="eastAsia"/>
          <w:b/>
          <w:bCs/>
          <w:szCs w:val="21"/>
          <w:highlight w:val="yellow"/>
        </w:rPr>
        <w:t>（6）帮扶街道专题分析技术报告（5个街道，每个街道每月1份，共60份）。</w:t>
      </w:r>
    </w:p>
    <w:p>
      <w:pPr>
        <w:spacing w:line="360" w:lineRule="auto"/>
        <w:ind w:firstLine="420" w:firstLineChars="200"/>
        <w:jc w:val="left"/>
        <w:rPr>
          <w:rFonts w:ascii="宋体" w:hAnsi="宋体" w:hint="eastAsia"/>
          <w:b/>
          <w:bCs/>
          <w:szCs w:val="21"/>
        </w:rPr>
      </w:pPr>
      <w:r>
        <w:rPr>
          <w:rFonts w:ascii="宋体" w:hAnsi="宋体" w:hint="eastAsia"/>
          <w:b/>
          <w:bCs/>
          <w:szCs w:val="21"/>
          <w:lang w:eastAsia="zh-CN"/>
        </w:rPr>
        <w:t>（</w:t>
      </w:r>
      <w:r>
        <w:rPr>
          <w:rFonts w:ascii="宋体" w:hAnsi="宋体" w:hint="eastAsia"/>
          <w:b/>
          <w:bCs/>
          <w:szCs w:val="21"/>
          <w:lang w:val="en-US" w:eastAsia="zh-CN"/>
        </w:rPr>
        <w:t>四</w:t>
      </w:r>
      <w:r>
        <w:rPr>
          <w:rFonts w:ascii="宋体" w:hAnsi="宋体" w:hint="eastAsia"/>
          <w:b/>
          <w:bCs/>
          <w:szCs w:val="21"/>
          <w:lang w:eastAsia="zh-CN"/>
        </w:rPr>
        <w:t>）</w:t>
      </w:r>
      <w:r>
        <w:rPr>
          <w:rFonts w:ascii="宋体" w:hAnsi="宋体" w:hint="eastAsia"/>
          <w:b/>
          <w:bCs/>
          <w:szCs w:val="21"/>
        </w:rPr>
        <w:t>人员要求</w:t>
      </w:r>
    </w:p>
    <w:p>
      <w:pPr>
        <w:spacing w:line="360" w:lineRule="auto"/>
        <w:ind w:firstLine="420" w:firstLineChars="200"/>
        <w:jc w:val="left"/>
        <w:rPr>
          <w:rFonts w:ascii="宋体" w:hAnsi="宋体" w:hint="eastAsia"/>
          <w:szCs w:val="21"/>
        </w:rPr>
      </w:pPr>
      <w:r>
        <w:rPr>
          <w:rFonts w:ascii="宋体" w:hAnsi="宋体" w:hint="eastAsia"/>
          <w:szCs w:val="21"/>
        </w:rPr>
        <w:t>为保障项目工作的顺利开展，中标人需</w:t>
      </w:r>
      <w:r>
        <w:rPr>
          <w:rFonts w:ascii="宋体" w:hAnsi="宋体" w:hint="eastAsia"/>
          <w:szCs w:val="21"/>
          <w:lang w:val="en-US" w:eastAsia="zh-CN"/>
        </w:rPr>
        <w:t>提供</w:t>
      </w:r>
      <w:r>
        <w:rPr>
          <w:rFonts w:ascii="宋体" w:hAnsi="宋体" w:hint="eastAsia"/>
          <w:szCs w:val="21"/>
        </w:rPr>
        <w:t>具有初级或以上职称的人员不少于10人（含项目负责人）</w:t>
      </w:r>
      <w:r>
        <w:rPr>
          <w:rFonts w:ascii="宋体" w:hAnsi="宋体" w:hint="eastAsia"/>
          <w:szCs w:val="21"/>
          <w:lang w:val="en-US" w:eastAsia="zh-CN"/>
        </w:rPr>
        <w:t>来</w:t>
      </w:r>
      <w:r>
        <w:rPr>
          <w:rFonts w:ascii="宋体" w:hAnsi="宋体" w:hint="eastAsia"/>
          <w:szCs w:val="21"/>
        </w:rPr>
        <w:t>开展此项目</w:t>
      </w:r>
      <w:r>
        <w:rPr>
          <w:rFonts w:ascii="宋体" w:hAnsi="宋体" w:hint="eastAsia"/>
          <w:szCs w:val="21"/>
          <w:lang w:eastAsia="zh-CN"/>
        </w:rPr>
        <w:t>，其中不少于6人具备中级职称，不少于2人具有高级职称</w:t>
      </w:r>
      <w:r>
        <w:rPr>
          <w:rFonts w:ascii="宋体" w:hAnsi="宋体" w:hint="eastAsia"/>
          <w:szCs w:val="21"/>
        </w:rPr>
        <w:t>。项目负责人应为高级工程师且具有大气环境管理的工作经验。</w:t>
      </w:r>
    </w:p>
    <w:p>
      <w:pPr>
        <w:spacing w:line="360" w:lineRule="auto"/>
        <w:ind w:firstLine="420" w:firstLineChars="200"/>
        <w:jc w:val="left"/>
        <w:rPr>
          <w:rFonts w:ascii="宋体" w:hAnsi="宋体" w:hint="eastAsia"/>
          <w:szCs w:val="21"/>
        </w:rPr>
      </w:pPr>
      <w:r>
        <w:rPr>
          <w:rFonts w:ascii="宋体" w:hAnsi="宋体" w:hint="eastAsia"/>
          <w:szCs w:val="21"/>
        </w:rPr>
        <w:t>中标人需合理安排工作和时间，严格按照各项规章制度、工作流程开展工作。采购人有权对项目组成员进行评价，如项目组成员工作能力不符合采购人要求，采购人有权要求项目组限期更换。如更换后仍不符合要求，采购人有权解除合同，已发生的费用不予结算。</w:t>
      </w:r>
    </w:p>
    <w:p>
      <w:pPr>
        <w:spacing w:line="360" w:lineRule="auto"/>
        <w:ind w:firstLine="420" w:firstLineChars="200"/>
        <w:jc w:val="left"/>
        <w:rPr>
          <w:rFonts w:ascii="宋体" w:hAnsi="宋体" w:hint="eastAsia"/>
          <w:b/>
          <w:bCs/>
          <w:szCs w:val="21"/>
        </w:rPr>
      </w:pPr>
      <w:r>
        <w:rPr>
          <w:rFonts w:ascii="宋体" w:hAnsi="宋体" w:hint="eastAsia"/>
          <w:b/>
          <w:bCs/>
          <w:szCs w:val="21"/>
          <w:lang w:eastAsia="zh-CN"/>
        </w:rPr>
        <w:t>（</w:t>
      </w:r>
      <w:r>
        <w:rPr>
          <w:rFonts w:ascii="宋体" w:hAnsi="宋体" w:hint="eastAsia"/>
          <w:b/>
          <w:bCs/>
          <w:szCs w:val="21"/>
          <w:lang w:val="en-US" w:eastAsia="zh-CN"/>
        </w:rPr>
        <w:t>五</w:t>
      </w:r>
      <w:r>
        <w:rPr>
          <w:rFonts w:ascii="宋体" w:hAnsi="宋体" w:hint="eastAsia"/>
          <w:b/>
          <w:bCs/>
          <w:szCs w:val="21"/>
          <w:lang w:eastAsia="zh-CN"/>
        </w:rPr>
        <w:t>）</w:t>
      </w:r>
      <w:r>
        <w:rPr>
          <w:rFonts w:ascii="宋体" w:hAnsi="宋体" w:hint="eastAsia"/>
          <w:b/>
          <w:bCs/>
          <w:szCs w:val="21"/>
        </w:rPr>
        <w:t>项目拟使用的车辆、场地、工具、机器等要求</w:t>
      </w:r>
    </w:p>
    <w:p>
      <w:pPr>
        <w:spacing w:line="360" w:lineRule="auto"/>
        <w:ind w:firstLine="420" w:firstLineChars="200"/>
        <w:jc w:val="left"/>
        <w:rPr>
          <w:rFonts w:ascii="宋体" w:hAnsi="宋体" w:hint="eastAsia"/>
          <w:szCs w:val="21"/>
        </w:rPr>
      </w:pPr>
      <w:r>
        <w:rPr>
          <w:rFonts w:ascii="宋体" w:hAnsi="宋体" w:hint="eastAsia"/>
          <w:szCs w:val="21"/>
        </w:rPr>
        <w:t>中标人自备（自有或租赁均可）车辆开展本项目所需的现场工作，并承担车辆使用产生的油费、保养、保险等所有费用。</w:t>
      </w:r>
    </w:p>
    <w:p>
      <w:pPr>
        <w:spacing w:line="360" w:lineRule="auto"/>
        <w:ind w:firstLine="420" w:firstLineChars="200"/>
        <w:jc w:val="left"/>
        <w:rPr>
          <w:rFonts w:ascii="宋体" w:hAnsi="宋体" w:hint="eastAsia"/>
          <w:b/>
          <w:bCs/>
          <w:szCs w:val="21"/>
        </w:rPr>
      </w:pPr>
      <w:r>
        <w:rPr>
          <w:rFonts w:ascii="宋体" w:hAnsi="宋体" w:hint="eastAsia"/>
          <w:b/>
          <w:bCs/>
          <w:szCs w:val="21"/>
          <w:lang w:eastAsia="zh-CN"/>
        </w:rPr>
        <w:t>（</w:t>
      </w:r>
      <w:r>
        <w:rPr>
          <w:rFonts w:ascii="宋体" w:hAnsi="宋体" w:hint="eastAsia"/>
          <w:b/>
          <w:bCs/>
          <w:szCs w:val="21"/>
          <w:lang w:val="en-US" w:eastAsia="zh-CN"/>
        </w:rPr>
        <w:t>六</w:t>
      </w:r>
      <w:r>
        <w:rPr>
          <w:rFonts w:ascii="宋体" w:hAnsi="宋体" w:hint="eastAsia"/>
          <w:b/>
          <w:bCs/>
          <w:szCs w:val="21"/>
          <w:lang w:eastAsia="zh-CN"/>
        </w:rPr>
        <w:t>）</w:t>
      </w:r>
      <w:r>
        <w:rPr>
          <w:rFonts w:ascii="宋体" w:hAnsi="宋体" w:hint="eastAsia"/>
          <w:b/>
          <w:bCs/>
          <w:szCs w:val="21"/>
        </w:rPr>
        <w:t>验收要求</w:t>
      </w:r>
    </w:p>
    <w:p>
      <w:pPr>
        <w:spacing w:line="360" w:lineRule="auto"/>
        <w:ind w:firstLine="420" w:firstLineChars="200"/>
        <w:jc w:val="left"/>
        <w:rPr>
          <w:rFonts w:ascii="宋体" w:hAnsi="宋体" w:hint="eastAsia"/>
          <w:szCs w:val="21"/>
        </w:rPr>
      </w:pPr>
      <w:r>
        <w:rPr>
          <w:rFonts w:ascii="宋体" w:hAnsi="宋体" w:hint="eastAsia"/>
          <w:szCs w:val="21"/>
        </w:rPr>
        <w:t>合同期满或合同内容全部完成后，召开专家会，并根据合同内容进行验收。</w:t>
      </w:r>
    </w:p>
    <w:p>
      <w:pPr>
        <w:keepNext/>
        <w:keepLines/>
        <w:adjustRightInd w:val="0"/>
        <w:spacing w:before="156" w:beforeLines="50" w:after="156" w:afterLines="50"/>
        <w:jc w:val="center"/>
        <w:textAlignment w:val="baseline"/>
        <w:outlineLvl w:val="1"/>
        <w:rPr>
          <w:rFonts w:ascii="宋体" w:hAnsi="宋体"/>
          <w:b/>
          <w:bCs/>
          <w:kern w:val="0"/>
          <w:sz w:val="28"/>
          <w:szCs w:val="28"/>
        </w:rPr>
      </w:pPr>
    </w:p>
    <w:p>
      <w:pPr>
        <w:keepNext/>
        <w:keepLines/>
        <w:adjustRightInd w:val="0"/>
        <w:spacing w:before="156" w:beforeLines="50" w:after="156" w:afterLines="50"/>
        <w:jc w:val="center"/>
        <w:textAlignment w:val="baseline"/>
        <w:outlineLvl w:val="1"/>
        <w:rPr>
          <w:rFonts w:ascii="宋体" w:hAnsi="宋体"/>
          <w:b/>
          <w:bCs/>
          <w:kern w:val="0"/>
          <w:sz w:val="28"/>
          <w:szCs w:val="28"/>
        </w:rPr>
      </w:pPr>
      <w:r>
        <w:rPr>
          <w:rFonts w:ascii="宋体" w:hAnsi="宋体" w:hint="eastAsia"/>
          <w:b/>
          <w:bCs/>
          <w:kern w:val="0"/>
          <w:sz w:val="28"/>
          <w:szCs w:val="28"/>
        </w:rPr>
        <w:t>五、项目商务要求</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一</w:t>
      </w:r>
      <w:r>
        <w:rPr>
          <w:rFonts w:ascii="宋体" w:hAnsi="宋体" w:cs="宋体" w:hint="eastAsia"/>
          <w:b/>
          <w:bCs/>
          <w:szCs w:val="21"/>
          <w:lang w:eastAsia="zh-CN"/>
        </w:rPr>
        <w:t>）</w:t>
      </w:r>
      <w:r>
        <w:rPr>
          <w:rFonts w:ascii="宋体" w:hAnsi="宋体" w:cs="宋体" w:hint="eastAsia"/>
          <w:b/>
          <w:bCs/>
          <w:szCs w:val="21"/>
        </w:rPr>
        <w:t>报价要求</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1、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2、投标人的投标报价，应是本项目招标范围和招标文件及合同条款上所列的各项内容中所述的全部，不得以任何理由予以重复，并以投标人在投标文件中提出的综合单价或总价为依据。</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3、除非采购代理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4、投标人应充分了解项目的位置、情况、道路及任何其它足以影响投标报价的情况，任何因忽视或误解项目情况而导致的索赔或服务期限延长申请将不获批准。</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5、投标人不得期望通过索赔等方式获取补偿，否则，除可能遭到拒绝外，还可能将被作为不良行为记录在案，并可能影响其以后参加政府采购的项目投标。各投标人在投标报价时，应充分考虑投标报价的风险。</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6、投标人须考虑本项目在实施期间的一切可能产生的费用。在项目实施过程中，如项目工作范围发生变更，由中标人和采购人双方协商解决；其余情况下，投标总价均不予调整。</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7、★投标人按照招标文件要求，提供《投标分项报价表》。</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二</w:t>
      </w:r>
      <w:r>
        <w:rPr>
          <w:rFonts w:ascii="宋体" w:hAnsi="宋体" w:cs="宋体" w:hint="eastAsia"/>
          <w:b/>
          <w:bCs/>
          <w:szCs w:val="21"/>
          <w:lang w:eastAsia="zh-CN"/>
        </w:rPr>
        <w:t>）</w:t>
      </w:r>
      <w:r>
        <w:rPr>
          <w:rFonts w:ascii="宋体" w:hAnsi="宋体" w:cs="宋体" w:hint="eastAsia"/>
          <w:b/>
          <w:bCs/>
          <w:szCs w:val="21"/>
        </w:rPr>
        <w:t>支付要求</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1、签订合同后，采购人在收到发票后10个工作日内向中标人支付首款，首款不超过87万元，具体金额以合同约定为准。</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2、2026年1月31日前，中标人</w:t>
      </w:r>
      <w:r>
        <w:rPr>
          <w:rFonts w:ascii="宋体" w:hAnsi="宋体" w:cs="宋体" w:hint="eastAsia"/>
          <w:szCs w:val="21"/>
          <w:lang w:val="en-US" w:eastAsia="zh-CN"/>
        </w:rPr>
        <w:t>对照合同约定的成果材料要求，</w:t>
      </w:r>
      <w:r>
        <w:rPr>
          <w:rFonts w:ascii="宋体" w:hAnsi="宋体" w:cs="宋体" w:hint="eastAsia"/>
          <w:szCs w:val="21"/>
        </w:rPr>
        <w:t>提供</w:t>
      </w:r>
      <w:r>
        <w:rPr>
          <w:rFonts w:ascii="宋体" w:hAnsi="宋体" w:cs="宋体" w:hint="eastAsia"/>
          <w:szCs w:val="21"/>
          <w:lang w:val="en-US" w:eastAsia="zh-CN"/>
        </w:rPr>
        <w:t>截至2025年12月底的</w:t>
      </w:r>
      <w:r>
        <w:rPr>
          <w:rFonts w:ascii="宋体" w:hAnsi="宋体" w:cs="宋体" w:hint="eastAsia"/>
          <w:szCs w:val="21"/>
        </w:rPr>
        <w:t>阶段性工作材料后，采购人在收到发票后10个工作日内向中标人支付阶段款，阶段款不超过200万元，具体金额以合同约定为准。</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3、通过采购人验收且采购人在收到发票后10个工作日内向中标人支付合同尾款，尾款金额应为中标金额减去首款和阶段款，尾款不超过49万元，具体金额以合同约定为准。</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4、每次按合同支付款项前，中标人应向采购人提供与支付金额相符的有效发票，且收款方、出具发票方、合同乙方均必须与中标人名称一致。</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w:t>
      </w:r>
      <w:r>
        <w:rPr>
          <w:rFonts w:ascii="宋体" w:hAnsi="宋体" w:cs="宋体" w:hint="eastAsia"/>
          <w:b/>
          <w:bCs/>
          <w:szCs w:val="21"/>
          <w:highlight w:val="yellow"/>
          <w:lang w:eastAsia="zh-CN"/>
        </w:rPr>
        <w:t>（</w:t>
      </w:r>
      <w:r>
        <w:rPr>
          <w:rFonts w:ascii="宋体" w:hAnsi="宋体" w:cs="宋体" w:hint="eastAsia"/>
          <w:b/>
          <w:bCs/>
          <w:szCs w:val="21"/>
          <w:highlight w:val="yellow"/>
          <w:lang w:val="en-US" w:eastAsia="zh-CN"/>
        </w:rPr>
        <w:t>三</w:t>
      </w:r>
      <w:r>
        <w:rPr>
          <w:rFonts w:ascii="宋体" w:hAnsi="宋体" w:cs="宋体" w:hint="eastAsia"/>
          <w:b/>
          <w:bCs/>
          <w:szCs w:val="21"/>
          <w:highlight w:val="yellow"/>
          <w:lang w:eastAsia="zh-CN"/>
        </w:rPr>
        <w:t>）</w:t>
      </w:r>
      <w:r>
        <w:rPr>
          <w:rFonts w:ascii="宋体" w:hAnsi="宋体" w:cs="宋体" w:hint="eastAsia"/>
          <w:b/>
          <w:bCs/>
          <w:szCs w:val="21"/>
          <w:highlight w:val="yellow"/>
        </w:rPr>
        <w:t>合同服务期限</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1、项目服务期限：本项目服务期自合同签订之日起1年。</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2、本项目为长期服务项目，政府采购合同一年一签，可续签2次，履行期限最长不得超过36个月。合同到期前，采购人开展项目履约评价，如采购人对履约情况不满意，采购人不再续约。</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3、售后服务期限：项目完成由采购人验收通过后进入售后服务期1年，中标人要在售后服务期限内提供相关咨询、协调和项目审查等技术支持。</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w:t>
      </w:r>
      <w:r>
        <w:rPr>
          <w:rFonts w:ascii="宋体" w:hAnsi="宋体" w:cs="宋体" w:hint="eastAsia"/>
          <w:b/>
          <w:bCs/>
          <w:szCs w:val="21"/>
          <w:highlight w:val="yellow"/>
          <w:lang w:eastAsia="zh-CN"/>
        </w:rPr>
        <w:t>（</w:t>
      </w:r>
      <w:r>
        <w:rPr>
          <w:rFonts w:ascii="宋体" w:hAnsi="宋体" w:cs="宋体" w:hint="eastAsia"/>
          <w:b/>
          <w:bCs/>
          <w:szCs w:val="21"/>
          <w:highlight w:val="yellow"/>
          <w:lang w:val="en-US" w:eastAsia="zh-CN"/>
        </w:rPr>
        <w:t>四</w:t>
      </w:r>
      <w:r>
        <w:rPr>
          <w:rFonts w:ascii="宋体" w:hAnsi="宋体" w:cs="宋体" w:hint="eastAsia"/>
          <w:b/>
          <w:bCs/>
          <w:szCs w:val="21"/>
          <w:highlight w:val="yellow"/>
          <w:lang w:eastAsia="zh-CN"/>
        </w:rPr>
        <w:t>）</w:t>
      </w:r>
      <w:r>
        <w:rPr>
          <w:rFonts w:ascii="宋体" w:hAnsi="宋体" w:cs="宋体" w:hint="eastAsia"/>
          <w:b/>
          <w:bCs/>
          <w:szCs w:val="21"/>
          <w:highlight w:val="yellow"/>
        </w:rPr>
        <w:t>合同转包和分包</w:t>
      </w:r>
    </w:p>
    <w:p>
      <w:pPr>
        <w:spacing w:before="78" w:beforeLines="25" w:after="78" w:afterLines="25" w:line="360" w:lineRule="auto"/>
        <w:ind w:firstLine="393" w:firstLineChars="187"/>
        <w:rPr>
          <w:rFonts w:ascii="宋体" w:hAnsi="宋体" w:cs="宋体" w:hint="eastAsia"/>
          <w:szCs w:val="21"/>
          <w:highlight w:val="yellow"/>
        </w:rPr>
      </w:pPr>
      <w:r>
        <w:rPr>
          <w:rFonts w:ascii="宋体" w:hAnsi="宋体" w:cs="宋体" w:hint="eastAsia"/>
          <w:szCs w:val="21"/>
          <w:highlight w:val="yellow"/>
        </w:rPr>
        <w:t>本项目不允许转包，不允许分包。</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五</w:t>
      </w:r>
      <w:r>
        <w:rPr>
          <w:rFonts w:ascii="宋体" w:hAnsi="宋体" w:cs="宋体" w:hint="eastAsia"/>
          <w:b/>
          <w:bCs/>
          <w:szCs w:val="21"/>
          <w:lang w:eastAsia="zh-CN"/>
        </w:rPr>
        <w:t>）</w:t>
      </w:r>
      <w:r>
        <w:rPr>
          <w:rFonts w:ascii="宋体" w:hAnsi="宋体" w:cs="宋体" w:hint="eastAsia"/>
          <w:b/>
          <w:bCs/>
          <w:szCs w:val="21"/>
        </w:rPr>
        <w:t>保密要求</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中标人在履行合同过程中所获得或接触到的任何内部数据资料，未经采购人同意，不得向第三方透露；中标人实施项目的一切程序都应符合国家安全、保密的有关规定和招标文件、中标人投标文件，国家和行业有关规范、规程和标准。</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w:t>
      </w:r>
      <w:r>
        <w:rPr>
          <w:rFonts w:ascii="宋体" w:hAnsi="宋体" w:cs="宋体" w:hint="eastAsia"/>
          <w:b/>
          <w:bCs/>
          <w:szCs w:val="21"/>
          <w:highlight w:val="yellow"/>
          <w:lang w:eastAsia="zh-CN"/>
        </w:rPr>
        <w:t>（</w:t>
      </w:r>
      <w:r>
        <w:rPr>
          <w:rFonts w:ascii="宋体" w:hAnsi="宋体" w:cs="宋体" w:hint="eastAsia"/>
          <w:b/>
          <w:bCs/>
          <w:szCs w:val="21"/>
          <w:highlight w:val="yellow"/>
          <w:lang w:val="en-US" w:eastAsia="zh-CN"/>
        </w:rPr>
        <w:t>六</w:t>
      </w:r>
      <w:r>
        <w:rPr>
          <w:rFonts w:ascii="宋体" w:hAnsi="宋体" w:cs="宋体" w:hint="eastAsia"/>
          <w:b/>
          <w:bCs/>
          <w:szCs w:val="21"/>
          <w:highlight w:val="yellow"/>
          <w:lang w:eastAsia="zh-CN"/>
        </w:rPr>
        <w:t>）</w:t>
      </w:r>
      <w:r>
        <w:rPr>
          <w:rFonts w:ascii="宋体" w:hAnsi="宋体" w:cs="宋体" w:hint="eastAsia"/>
          <w:b/>
          <w:bCs/>
          <w:szCs w:val="21"/>
          <w:highlight w:val="yellow"/>
        </w:rPr>
        <w:t>违约责任</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1、因中标人原因，未能按规定时间完成有关工作的，每延误一天，采购人可在支付合同余款中扣除合同价款千分之一，延误超过15天，采购人有权解除合同，中标人应当向采购人支付采购合同总价款20%的违约金。</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2、如中标人提供的技术服务或技术服务文件不符合质量要求，必须在采购人提出要求后7天内无条件修改，其费用由中标人承担。中标人经修改后提供的技术服务或技术服务文件仍不符合质量要求的，采购人有权解除合同，中标人应当返还采购人已支付款项并向采购人支付采购合同总价款20%的违约金。</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3、如中标人违反保密义务或提供的项目服务或项目成果侵犯第三方知识产权的，采购人有权解除合同，中标人应当返还采购人已支付款项并向采购人支付采购合同总价款20%的违约金。</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4、未经采购人同意，中标人不得将项目转包或分包给其他第三方，如若违反，采购人有权解除合同，中标人应当返还采购人已支付的款项并向采购人支付采购合同总价款20%的违约金。</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七</w:t>
      </w:r>
      <w:r>
        <w:rPr>
          <w:rFonts w:ascii="宋体" w:hAnsi="宋体" w:cs="宋体" w:hint="eastAsia"/>
          <w:b/>
          <w:bCs/>
          <w:szCs w:val="21"/>
          <w:lang w:eastAsia="zh-CN"/>
        </w:rPr>
        <w:t>）</w:t>
      </w:r>
      <w:r>
        <w:rPr>
          <w:rFonts w:ascii="宋体" w:hAnsi="宋体" w:cs="宋体" w:hint="eastAsia"/>
          <w:b/>
          <w:bCs/>
          <w:szCs w:val="21"/>
        </w:rPr>
        <w:t>合同的变更</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1、在合同履行过程中，采购人、中标人双方可就合同履行的时间、地点和方式等协商进行变更。协商一致后，双方应签订书面的补充协议。</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2、在不改变合同其他条款的前提下，采购人有权在合同价款改变百分之十的范围内追加与合同标的相同的货物或服务，并就此与中标人签订补充合同，中标人不得拒绝。</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3、除了双方签署书面协议，并成为合同不可分割的一部分之外，合同条件不得有任何变更。</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八</w:t>
      </w:r>
      <w:r>
        <w:rPr>
          <w:rFonts w:ascii="宋体" w:hAnsi="宋体" w:cs="宋体" w:hint="eastAsia"/>
          <w:b/>
          <w:bCs/>
          <w:szCs w:val="21"/>
          <w:lang w:eastAsia="zh-CN"/>
        </w:rPr>
        <w:t>）</w:t>
      </w:r>
      <w:r>
        <w:rPr>
          <w:rFonts w:ascii="宋体" w:hAnsi="宋体" w:cs="宋体" w:hint="eastAsia"/>
          <w:b/>
          <w:bCs/>
          <w:szCs w:val="21"/>
        </w:rPr>
        <w:t>解决争议的方法</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1、合同各方应通过友好协商，解决在执行合同过程中所发生的或与合同有关的一切争端。</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2、如从协商开始28天内仍不能解决，任一方可向</w:t>
      </w:r>
      <w:r>
        <w:rPr>
          <w:rFonts w:ascii="宋体" w:hAnsi="宋体" w:cs="宋体" w:hint="eastAsia"/>
          <w:szCs w:val="21"/>
          <w:lang w:val="en-US" w:eastAsia="zh-CN"/>
        </w:rPr>
        <w:t>深圳市</w:t>
      </w:r>
      <w:r>
        <w:rPr>
          <w:rFonts w:ascii="宋体" w:hAnsi="宋体" w:cs="宋体" w:hint="eastAsia"/>
          <w:szCs w:val="21"/>
        </w:rPr>
        <w:t>宝安区人民法院提起诉讼。</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3、在诉讼期间，除正在进行诉讼的部分外，合同的其他部分应继续执行。</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九</w:t>
      </w:r>
      <w:r>
        <w:rPr>
          <w:rFonts w:ascii="宋体" w:hAnsi="宋体" w:cs="宋体" w:hint="eastAsia"/>
          <w:b/>
          <w:bCs/>
          <w:szCs w:val="21"/>
          <w:lang w:eastAsia="zh-CN"/>
        </w:rPr>
        <w:t>）</w:t>
      </w:r>
      <w:r>
        <w:rPr>
          <w:rFonts w:ascii="宋体" w:hAnsi="宋体" w:cs="宋体" w:hint="eastAsia"/>
          <w:b/>
          <w:bCs/>
          <w:szCs w:val="21"/>
        </w:rPr>
        <w:t>合同语言</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合同以及双方来往的与合同有关的信件、传真和其它文件应用中文书写。</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十</w:t>
      </w:r>
      <w:r>
        <w:rPr>
          <w:rFonts w:ascii="宋体" w:hAnsi="宋体" w:cs="宋体" w:hint="eastAsia"/>
          <w:b/>
          <w:bCs/>
          <w:szCs w:val="21"/>
          <w:lang w:eastAsia="zh-CN"/>
        </w:rPr>
        <w:t>）</w:t>
      </w:r>
      <w:r>
        <w:rPr>
          <w:rFonts w:ascii="宋体" w:hAnsi="宋体" w:cs="宋体" w:hint="eastAsia"/>
          <w:b/>
          <w:bCs/>
          <w:szCs w:val="21"/>
        </w:rPr>
        <w:t>法律适用</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合同适用中华人民共和国现行法律、行政法规和规章，如合同条款与法律、行政法规和规章不一致的，按照法律、行政法规和规章修改合同。</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val="en-US" w:eastAsia="zh-CN"/>
        </w:rPr>
        <w:t>（</w:t>
      </w:r>
      <w:r>
        <w:rPr>
          <w:rFonts w:ascii="宋体" w:hAnsi="宋体" w:cs="宋体" w:hint="eastAsia"/>
          <w:b/>
          <w:bCs/>
          <w:szCs w:val="21"/>
        </w:rPr>
        <w:t>十</w:t>
      </w:r>
      <w:r>
        <w:rPr>
          <w:rFonts w:ascii="宋体" w:hAnsi="宋体" w:cs="宋体" w:hint="eastAsia"/>
          <w:b/>
          <w:bCs/>
          <w:szCs w:val="21"/>
          <w:lang w:val="en-US" w:eastAsia="zh-CN"/>
        </w:rPr>
        <w:t>一）</w:t>
      </w:r>
      <w:r>
        <w:rPr>
          <w:rFonts w:ascii="宋体" w:hAnsi="宋体" w:cs="宋体" w:hint="eastAsia"/>
          <w:b/>
          <w:bCs/>
          <w:szCs w:val="21"/>
        </w:rPr>
        <w:t>通知</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1、合同一方给另一方的通知均应采用书面形式，传真或快递送到对方的地址和办理签收手续。</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2、通知以送到之日或通知书中规定的生效之日起生效，两者中以较迟之日为准。</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w:t>
      </w:r>
      <w:r>
        <w:rPr>
          <w:rFonts w:ascii="宋体" w:hAnsi="宋体" w:cs="宋体" w:hint="eastAsia"/>
          <w:b/>
          <w:bCs/>
          <w:szCs w:val="21"/>
          <w:highlight w:val="yellow"/>
          <w:lang w:eastAsia="zh-CN"/>
        </w:rPr>
        <w:t>（</w:t>
      </w:r>
      <w:r>
        <w:rPr>
          <w:rFonts w:ascii="宋体" w:hAnsi="宋体" w:cs="宋体" w:hint="eastAsia"/>
          <w:b/>
          <w:bCs/>
          <w:szCs w:val="21"/>
          <w:highlight w:val="yellow"/>
        </w:rPr>
        <w:t>十</w:t>
      </w:r>
      <w:r>
        <w:rPr>
          <w:rFonts w:ascii="宋体" w:hAnsi="宋体" w:cs="宋体" w:hint="eastAsia"/>
          <w:b/>
          <w:bCs/>
          <w:szCs w:val="21"/>
          <w:highlight w:val="yellow"/>
          <w:lang w:val="en-US" w:eastAsia="zh-CN"/>
        </w:rPr>
        <w:t>二</w:t>
      </w:r>
      <w:r>
        <w:rPr>
          <w:rFonts w:ascii="宋体" w:hAnsi="宋体" w:cs="宋体" w:hint="eastAsia"/>
          <w:b/>
          <w:bCs/>
          <w:szCs w:val="21"/>
          <w:highlight w:val="yellow"/>
          <w:lang w:eastAsia="zh-CN"/>
        </w:rPr>
        <w:t>）</w:t>
      </w:r>
      <w:r>
        <w:rPr>
          <w:rFonts w:ascii="宋体" w:hAnsi="宋体" w:cs="宋体" w:hint="eastAsia"/>
          <w:b/>
          <w:bCs/>
          <w:szCs w:val="21"/>
          <w:highlight w:val="yellow"/>
        </w:rPr>
        <w:t>知识产权</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1、中标人在履行合同的过程中不得侵犯他人知识产权，不得提供虚假知识产权申请材料或者违背知识产权合规性承诺，否则依法追究其违约等责任，并将其失信违法信息依法纳入公共信用信息系统。</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2、中标人应保证采购人在使用该项目服务、项目成果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pPr>
        <w:spacing w:before="78" w:beforeLines="25" w:after="78" w:afterLines="25" w:line="360" w:lineRule="auto"/>
        <w:ind w:firstLine="393" w:firstLineChars="187"/>
        <w:rPr>
          <w:rFonts w:ascii="宋体" w:hAnsi="宋体" w:cs="宋体" w:hint="eastAsia"/>
          <w:b/>
          <w:bCs/>
          <w:szCs w:val="21"/>
          <w:highlight w:val="yellow"/>
        </w:rPr>
      </w:pPr>
      <w:r>
        <w:rPr>
          <w:rFonts w:ascii="宋体" w:hAnsi="宋体" w:cs="宋体" w:hint="eastAsia"/>
          <w:b/>
          <w:bCs/>
          <w:szCs w:val="21"/>
          <w:highlight w:val="yellow"/>
        </w:rPr>
        <w:t>3、中标人实施本项目所形成成果的知识产权归采购人所有，未经采购人许可，中标人不得随意使用。</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十三</w:t>
      </w:r>
      <w:r>
        <w:rPr>
          <w:rFonts w:ascii="宋体" w:hAnsi="宋体" w:cs="宋体" w:hint="eastAsia"/>
          <w:b/>
          <w:bCs/>
          <w:szCs w:val="21"/>
          <w:lang w:eastAsia="zh-CN"/>
        </w:rPr>
        <w:t>）</w:t>
      </w:r>
      <w:r>
        <w:rPr>
          <w:rFonts w:ascii="宋体" w:hAnsi="宋体" w:cs="宋体" w:hint="eastAsia"/>
          <w:b/>
          <w:bCs/>
          <w:szCs w:val="21"/>
        </w:rPr>
        <w:t>合同解除和终止</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如果中标人未能在协议规定的限期或采购人同意延长的限期内提供部分或全部服务，采购人可向中标人发出书面的违约通知书，提出解除或终止部份或全部协议。采购人可在任何时候出于自身的便利向中标人发出书面通知终止部分合同，采购人在合同总价中扣除该终止部分服务的价款，并不再对中标人作出额外赔偿。</w:t>
      </w:r>
    </w:p>
    <w:p>
      <w:pPr>
        <w:spacing w:before="78" w:beforeLines="25" w:after="78" w:afterLines="25" w:line="360" w:lineRule="auto"/>
        <w:ind w:firstLine="393" w:firstLineChars="187"/>
        <w:rPr>
          <w:rFonts w:ascii="宋体" w:hAnsi="宋体" w:cs="宋体" w:hint="eastAsia"/>
          <w:b/>
          <w:bCs/>
          <w:szCs w:val="21"/>
        </w:rPr>
      </w:pPr>
      <w:r>
        <w:rPr>
          <w:rFonts w:ascii="宋体" w:hAnsi="宋体" w:cs="宋体" w:hint="eastAsia"/>
          <w:b/>
          <w:bCs/>
          <w:szCs w:val="21"/>
          <w:lang w:eastAsia="zh-CN"/>
        </w:rPr>
        <w:t>（</w:t>
      </w:r>
      <w:r>
        <w:rPr>
          <w:rFonts w:ascii="宋体" w:hAnsi="宋体" w:cs="宋体" w:hint="eastAsia"/>
          <w:b/>
          <w:bCs/>
          <w:szCs w:val="21"/>
          <w:lang w:val="en-US" w:eastAsia="zh-CN"/>
        </w:rPr>
        <w:t>十四</w:t>
      </w:r>
      <w:r>
        <w:rPr>
          <w:rFonts w:ascii="宋体" w:hAnsi="宋体" w:cs="宋体" w:hint="eastAsia"/>
          <w:b/>
          <w:bCs/>
          <w:szCs w:val="21"/>
          <w:lang w:eastAsia="zh-CN"/>
        </w:rPr>
        <w:t>）</w:t>
      </w:r>
      <w:r>
        <w:rPr>
          <w:rFonts w:ascii="宋体" w:hAnsi="宋体" w:cs="宋体" w:hint="eastAsia"/>
          <w:b/>
          <w:bCs/>
          <w:szCs w:val="21"/>
        </w:rPr>
        <w:t>税费</w:t>
      </w:r>
    </w:p>
    <w:p>
      <w:pPr>
        <w:spacing w:before="78" w:beforeLines="25" w:after="78" w:afterLines="25" w:line="360" w:lineRule="auto"/>
        <w:ind w:firstLine="393" w:firstLineChars="187"/>
        <w:rPr>
          <w:rFonts w:ascii="宋体" w:hAnsi="宋体" w:cs="宋体" w:hint="eastAsia"/>
          <w:szCs w:val="21"/>
        </w:rPr>
      </w:pPr>
      <w:r>
        <w:rPr>
          <w:rFonts w:ascii="宋体" w:hAnsi="宋体" w:cs="宋体" w:hint="eastAsia"/>
          <w:szCs w:val="21"/>
        </w:rPr>
        <w:t>中国政府根据现行税法向中标人征收的与合同有关的一切税费均由中标人负责。</w:t>
      </w:r>
    </w:p>
    <w:p>
      <w:pPr>
        <w:rPr>
          <w:rFonts w:ascii="宋体" w:hAnsi="宋体" w:hint="eastAsia"/>
          <w:b/>
          <w:bCs/>
          <w:sz w:val="24"/>
          <w:szCs w:val="20"/>
        </w:rPr>
      </w:pPr>
      <w:r>
        <w:rPr>
          <w:rFonts w:ascii="宋体" w:hAnsi="宋体" w:hint="eastAsia"/>
          <w:b/>
          <w:bCs/>
          <w:sz w:val="24"/>
          <w:szCs w:val="20"/>
        </w:rPr>
        <w:br w:type="page"/>
      </w:r>
    </w:p>
    <w:p>
      <w:pPr>
        <w:keepNext/>
        <w:keepLines/>
        <w:adjustRightInd w:val="0"/>
        <w:spacing w:before="260" w:after="260"/>
        <w:jc w:val="center"/>
        <w:textAlignment w:val="baseline"/>
        <w:outlineLvl w:val="1"/>
        <w:rPr>
          <w:rFonts w:ascii="宋体" w:hAnsi="宋体"/>
          <w:b/>
          <w:bCs/>
          <w:sz w:val="24"/>
          <w:szCs w:val="20"/>
        </w:rPr>
      </w:pPr>
      <w:r>
        <w:rPr>
          <w:rFonts w:ascii="宋体" w:hAnsi="宋体" w:hint="eastAsia"/>
          <w:b/>
          <w:bCs/>
          <w:sz w:val="24"/>
          <w:szCs w:val="20"/>
        </w:rPr>
        <w:t>第三章</w:t>
      </w:r>
      <w:r>
        <w:rPr>
          <w:rFonts w:ascii="宋体" w:hAnsi="宋体"/>
          <w:b/>
          <w:bCs/>
          <w:sz w:val="24"/>
          <w:szCs w:val="20"/>
        </w:rPr>
        <w:t xml:space="preserve"> </w:t>
      </w:r>
      <w:r>
        <w:rPr>
          <w:rFonts w:ascii="宋体" w:hAnsi="宋体" w:hint="eastAsia"/>
          <w:b/>
          <w:bCs/>
          <w:sz w:val="24"/>
          <w:szCs w:val="20"/>
        </w:rPr>
        <w:t xml:space="preserve"> 投标文件格式、附件</w:t>
      </w:r>
    </w:p>
    <w:p>
      <w:pPr>
        <w:rPr>
          <w:rFonts w:ascii="Times New Roman" w:hAnsi="Times New Roman"/>
          <w:b/>
          <w:bCs/>
          <w:sz w:val="24"/>
          <w:szCs w:val="32"/>
        </w:rPr>
      </w:pPr>
      <w:r>
        <w:rPr>
          <w:rFonts w:ascii="Times New Roman" w:hAnsi="Times New Roman" w:hint="eastAsia"/>
          <w:b/>
          <w:bCs/>
          <w:sz w:val="24"/>
          <w:szCs w:val="32"/>
        </w:rPr>
        <w:t>特别提醒：</w:t>
      </w:r>
    </w:p>
    <w:p>
      <w:pPr>
        <w:rPr>
          <w:rFonts w:ascii="Times New Roman" w:hAnsi="Times New Roman"/>
          <w:b/>
          <w:bCs/>
          <w:sz w:val="24"/>
          <w:szCs w:val="32"/>
        </w:rPr>
      </w:pPr>
    </w:p>
    <w:p>
      <w:pPr>
        <w:widowControl/>
        <w:ind w:firstLine="420" w:firstLineChars="200"/>
        <w:jc w:val="left"/>
        <w:rPr>
          <w:rFonts w:ascii="仿宋_GB2312" w:eastAsia="仿宋_GB2312" w:hAnsi="Times New Roman"/>
          <w:kern w:val="0"/>
          <w:sz w:val="24"/>
          <w:szCs w:val="24"/>
        </w:rPr>
      </w:pPr>
      <w:r>
        <w:rPr>
          <w:rFonts w:ascii="仿宋_GB2312" w:eastAsia="仿宋_GB2312" w:hAnsi="Times New Roman" w:hint="eastAsia"/>
          <w:b/>
          <w:kern w:val="0"/>
          <w:sz w:val="24"/>
          <w:szCs w:val="24"/>
        </w:rPr>
        <w:t>投标文件正文将对外公开，投标文件附件不公开。</w:t>
      </w:r>
      <w:r>
        <w:rPr>
          <w:rFonts w:ascii="仿宋_GB2312" w:eastAsia="仿宋_GB2312" w:hAnsi="Times New Roman" w:hint="eastAsia"/>
          <w:kern w:val="0"/>
          <w:sz w:val="24"/>
          <w:szCs w:val="24"/>
        </w:rPr>
        <w:t>投标人在编辑投标文件时，在投标文件目录中属于本节点内容的必须在本节点中填写，填写到其他节点或附件的将可能导致投标无效，一切后果由供应商自行承担。</w:t>
      </w:r>
    </w:p>
    <w:p>
      <w:pPr>
        <w:widowControl/>
        <w:jc w:val="left"/>
        <w:rPr>
          <w:rFonts w:ascii="仿宋_GB2312" w:eastAsia="仿宋_GB2312" w:hAnsi="Times New Roman"/>
          <w:kern w:val="0"/>
          <w:sz w:val="24"/>
          <w:szCs w:val="24"/>
        </w:rPr>
      </w:pPr>
      <w:r>
        <w:rPr>
          <w:rFonts w:ascii="仿宋_GB2312" w:eastAsia="仿宋_GB2312" w:hAnsi="Times New Roman" w:hint="eastAsia"/>
          <w:kern w:val="0"/>
          <w:sz w:val="24"/>
          <w:szCs w:val="24"/>
        </w:rPr>
        <w:t xml:space="preserve">    投标人应按招标文件规定的“投标文件组成”编制投标文件正文（信息公开部分）和投标文件附件（信息不公开部分），举例如下图：</w:t>
      </w:r>
    </w:p>
    <w:p>
      <w:pPr>
        <w:widowControl/>
        <w:jc w:val="center"/>
        <w:rPr>
          <w:rFonts w:ascii="宋体" w:hAnsi="宋体" w:eastAsiaTheme="minorEastAsia" w:cs="宋体"/>
          <w:kern w:val="0"/>
          <w:sz w:val="24"/>
          <w:szCs w:val="24"/>
          <w:highlight w:val="green"/>
        </w:rPr>
      </w:pPr>
      <w:r>
        <w:rPr>
          <w:rFonts w:ascii="仿宋_GB2312" w:eastAsia="仿宋_GB2312" w:hAnsi="Times New Roman"/>
          <w:kern w:val="0"/>
          <w:sz w:val="24"/>
          <w:szCs w:val="24"/>
          <w:highlight w:val="green"/>
        </w:rPr>
        <w:drawing>
          <wp:inline distT="0" distB="0" distL="0" distR="0">
            <wp:extent cx="5278755" cy="4126230"/>
            <wp:effectExtent l="0" t="0" r="0" b="0"/>
            <wp:docPr id="2"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图形用户界面, 应用程序&#10;&#10;描述已自动生成"/>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widowControl/>
        <w:jc w:val="center"/>
        <w:rPr>
          <w:rFonts w:ascii="仿宋_GB2312" w:eastAsia="仿宋_GB2312" w:hAnsi="Times New Roman"/>
          <w:kern w:val="0"/>
          <w:sz w:val="24"/>
          <w:szCs w:val="24"/>
          <w:highlight w:val="green"/>
        </w:rPr>
      </w:pPr>
    </w:p>
    <w:p>
      <w:pPr>
        <w:widowControl/>
        <w:ind w:firstLine="420" w:firstLineChars="200"/>
        <w:jc w:val="left"/>
        <w:rPr>
          <w:rFonts w:ascii="仿宋_GB2312" w:eastAsia="仿宋_GB2312" w:hAnsi="Times New Roman"/>
          <w:b/>
          <w:kern w:val="0"/>
          <w:sz w:val="24"/>
          <w:szCs w:val="24"/>
        </w:rPr>
      </w:pPr>
      <w:bookmarkStart w:id="9" w:name="_Hlk72257167"/>
      <w:r>
        <w:rPr>
          <w:rFonts w:ascii="仿宋_GB2312" w:eastAsia="仿宋_GB2312" w:hAnsi="Times New Roman" w:hint="eastAsia"/>
          <w:kern w:val="0"/>
          <w:sz w:val="24"/>
          <w:szCs w:val="24"/>
        </w:rPr>
        <w:t>采购代理机构公布投标文件正文（信息公开部分）时为计算机截取信息自动公布，</w:t>
      </w:r>
      <w:r>
        <w:rPr>
          <w:rFonts w:ascii="仿宋_GB2312" w:eastAsia="仿宋_GB2312" w:hAnsi="Times New Roman" w:hint="eastAsia"/>
          <w:b/>
          <w:bCs/>
          <w:kern w:val="0"/>
          <w:sz w:val="24"/>
          <w:szCs w:val="24"/>
        </w:rPr>
        <w:t>如投标人误将涉及个人隐私或其他重要信息放入投标文件正文，相关后果由投标人自负；</w:t>
      </w:r>
      <w:r>
        <w:rPr>
          <w:rFonts w:ascii="仿宋_GB2312" w:eastAsia="仿宋_GB2312" w:hAnsi="Times New Roman" w:hint="eastAsia"/>
          <w:b/>
          <w:kern w:val="0"/>
          <w:sz w:val="24"/>
          <w:szCs w:val="24"/>
        </w:rPr>
        <w:t>如投标人将必须放于投标文件正文（信息公开部分）的内容放入投标文件附件（信息不公开部分），将作投标无效处理。</w:t>
      </w:r>
    </w:p>
    <w:p>
      <w:pPr>
        <w:rPr>
          <w:rFonts w:ascii="仿宋_GB2312" w:eastAsia="仿宋_GB2312" w:hAnsi="Times New Roman"/>
          <w:sz w:val="24"/>
          <w:szCs w:val="24"/>
        </w:rPr>
      </w:pPr>
      <w:bookmarkEnd w:id="9"/>
    </w:p>
    <w:p>
      <w:pPr>
        <w:rPr>
          <w:rFonts w:ascii="宋体" w:hAnsi="宋体"/>
          <w:sz w:val="24"/>
        </w:rPr>
      </w:pPr>
      <w:r>
        <w:rPr>
          <w:rFonts w:ascii="宋体" w:hAnsi="宋体" w:hint="eastAsia"/>
          <w:sz w:val="24"/>
        </w:rPr>
        <w:t>投标文件组成：</w:t>
      </w:r>
    </w:p>
    <w:p>
      <w:pPr>
        <w:ind w:firstLine="424" w:firstLineChars="202"/>
        <w:rPr>
          <w:rFonts w:ascii="宋体" w:hAnsi="宋体"/>
          <w:sz w:val="24"/>
        </w:rPr>
      </w:pPr>
      <w:r>
        <w:rPr>
          <w:rFonts w:ascii="宋体" w:hAnsi="宋体" w:hint="eastAsia"/>
        </w:rPr>
        <w:t>1.</w:t>
      </w:r>
      <w:r>
        <w:rPr>
          <w:rFonts w:ascii="宋体" w:hAnsi="宋体" w:hint="eastAsia"/>
          <w:b/>
        </w:rPr>
        <w:t>投标文件正文</w:t>
      </w:r>
      <w:r>
        <w:rPr>
          <w:rFonts w:ascii="宋体" w:hAnsi="宋体" w:hint="eastAsia"/>
          <w:b/>
          <w:szCs w:val="21"/>
        </w:rPr>
        <w:t>（信息公开部分）</w:t>
      </w:r>
      <w:r>
        <w:rPr>
          <w:rFonts w:ascii="宋体" w:hAnsi="宋体" w:hint="eastAsia"/>
        </w:rPr>
        <w:t>，主要</w:t>
      </w:r>
      <w:r>
        <w:rPr>
          <w:rFonts w:ascii="宋体" w:hAnsi="宋体" w:hint="eastAsia"/>
          <w:szCs w:val="21"/>
        </w:rPr>
        <w:t>包括以下内容：</w:t>
      </w:r>
    </w:p>
    <w:p>
      <w:pPr>
        <w:spacing w:before="78" w:beforeLines="25" w:after="78" w:afterLines="25"/>
        <w:ind w:firstLine="991" w:firstLineChars="472"/>
        <w:rPr>
          <w:rFonts w:ascii="宋体" w:hAnsi="宋体"/>
          <w:szCs w:val="21"/>
        </w:rPr>
      </w:pPr>
      <w:r>
        <w:rPr>
          <w:rFonts w:ascii="宋体" w:hAnsi="宋体" w:hint="eastAsia"/>
          <w:szCs w:val="21"/>
        </w:rPr>
        <w:t>（1）投标函</w:t>
      </w:r>
    </w:p>
    <w:p>
      <w:pPr>
        <w:spacing w:before="78" w:beforeLines="25" w:after="78" w:afterLines="25"/>
        <w:ind w:firstLine="991" w:firstLineChars="472"/>
        <w:rPr>
          <w:rFonts w:ascii="宋体" w:hAnsi="宋体"/>
          <w:szCs w:val="21"/>
        </w:rPr>
      </w:pPr>
      <w:r>
        <w:rPr>
          <w:rFonts w:ascii="宋体" w:hAnsi="宋体" w:hint="eastAsia"/>
          <w:szCs w:val="21"/>
        </w:rPr>
        <w:t>（2）资格响应文件</w:t>
      </w:r>
    </w:p>
    <w:p>
      <w:pPr>
        <w:spacing w:before="78" w:beforeLines="25" w:after="78" w:afterLines="25"/>
        <w:ind w:firstLine="991" w:firstLineChars="472"/>
        <w:rPr>
          <w:rFonts w:ascii="宋体" w:hAnsi="宋体"/>
          <w:szCs w:val="21"/>
        </w:rPr>
      </w:pPr>
      <w:r>
        <w:rPr>
          <w:rFonts w:ascii="宋体" w:hAnsi="宋体" w:hint="eastAsia"/>
          <w:szCs w:val="21"/>
        </w:rPr>
        <w:t>（3）投标人情况介绍</w:t>
      </w:r>
    </w:p>
    <w:p>
      <w:pPr>
        <w:rPr>
          <w:rFonts w:ascii="宋体" w:hAnsi="宋体"/>
          <w:sz w:val="24"/>
          <w:szCs w:val="24"/>
        </w:rPr>
      </w:pPr>
    </w:p>
    <w:p>
      <w:pPr>
        <w:ind w:firstLine="424" w:firstLineChars="202"/>
        <w:rPr>
          <w:rFonts w:ascii="宋体" w:hAnsi="宋体"/>
          <w:szCs w:val="21"/>
        </w:rPr>
      </w:pPr>
    </w:p>
    <w:p>
      <w:pPr>
        <w:ind w:firstLine="424" w:firstLineChars="202"/>
        <w:rPr>
          <w:rFonts w:ascii="宋体" w:hAnsi="宋体"/>
          <w:szCs w:val="21"/>
        </w:rPr>
      </w:pPr>
      <w:r>
        <w:rPr>
          <w:rFonts w:ascii="宋体" w:hAnsi="宋体" w:hint="eastAsia"/>
          <w:szCs w:val="21"/>
        </w:rPr>
        <w:t>2.</w:t>
      </w:r>
      <w:r>
        <w:rPr>
          <w:rFonts w:ascii="宋体" w:hAnsi="宋体" w:hint="eastAsia"/>
          <w:b/>
          <w:szCs w:val="21"/>
        </w:rPr>
        <w:t>投标文件附件（信息不公开部分）</w:t>
      </w:r>
      <w:r>
        <w:rPr>
          <w:rFonts w:ascii="宋体" w:hAnsi="宋体" w:hint="eastAsia"/>
          <w:szCs w:val="21"/>
        </w:rPr>
        <w:t>，主要包括以下内容：</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4</w:t>
      </w:r>
      <w:r>
        <w:rPr>
          <w:rFonts w:ascii="宋体" w:hAnsi="宋体" w:hint="eastAsia"/>
          <w:szCs w:val="21"/>
        </w:rPr>
        <w:t>）政府采购违法行为风险知悉确认书</w:t>
      </w:r>
      <w:r>
        <w:rPr>
          <w:rFonts w:ascii="宋体" w:hAnsi="宋体" w:hint="eastAsia"/>
          <w:szCs w:val="21"/>
          <w:lang w:eastAsia="zh-CN"/>
        </w:rPr>
        <w:t>及</w:t>
      </w:r>
      <w:r>
        <w:rPr>
          <w:rFonts w:ascii="宋体" w:hAnsi="宋体" w:hint="eastAsia"/>
          <w:szCs w:val="21"/>
        </w:rPr>
        <w:t>供应商基本情况表</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5</w:t>
      </w:r>
      <w:r>
        <w:rPr>
          <w:rFonts w:ascii="宋体" w:hAnsi="宋体" w:hint="eastAsia"/>
          <w:szCs w:val="21"/>
        </w:rPr>
        <w:t>）法定代表人（负责人）资格证明书</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6</w:t>
      </w:r>
      <w:r>
        <w:rPr>
          <w:rFonts w:ascii="宋体" w:hAnsi="宋体" w:hint="eastAsia"/>
          <w:szCs w:val="21"/>
        </w:rPr>
        <w:t>）投标文件签署授权委托书</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7</w:t>
      </w:r>
      <w:r>
        <w:rPr>
          <w:rFonts w:ascii="宋体" w:hAnsi="宋体" w:hint="eastAsia"/>
          <w:szCs w:val="21"/>
        </w:rPr>
        <w:t>）实质性条款响应情况表</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8</w:t>
      </w:r>
      <w:r>
        <w:rPr>
          <w:rFonts w:ascii="宋体" w:hAnsi="宋体" w:hint="eastAsia"/>
          <w:szCs w:val="21"/>
        </w:rPr>
        <w:t>）详细分项报价清单</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9</w:t>
      </w:r>
      <w:r>
        <w:rPr>
          <w:rFonts w:ascii="宋体" w:hAnsi="宋体" w:hint="eastAsia"/>
          <w:szCs w:val="21"/>
        </w:rPr>
        <w:t>）服务要求</w:t>
      </w:r>
      <w:r>
        <w:rPr>
          <w:rFonts w:ascii="宋体" w:hAnsi="宋体"/>
          <w:szCs w:val="21"/>
        </w:rPr>
        <w:t>偏离表</w:t>
      </w:r>
    </w:p>
    <w:p>
      <w:pPr>
        <w:spacing w:before="78" w:beforeLines="25" w:after="78" w:afterLines="25"/>
        <w:ind w:firstLine="991" w:firstLineChars="472"/>
        <w:rPr>
          <w:rFonts w:ascii="宋体" w:hAnsi="宋体"/>
          <w:szCs w:val="21"/>
        </w:rPr>
      </w:pPr>
      <w:r>
        <w:rPr>
          <w:rFonts w:ascii="宋体" w:hAnsi="宋体" w:hint="eastAsia"/>
          <w:szCs w:val="21"/>
        </w:rPr>
        <w:t>（1</w:t>
      </w:r>
      <w:r>
        <w:rPr>
          <w:rFonts w:ascii="宋体" w:hAnsi="宋体" w:hint="eastAsia"/>
          <w:szCs w:val="21"/>
          <w:lang w:val="en-US" w:eastAsia="zh-CN"/>
        </w:rPr>
        <w:t>0</w:t>
      </w:r>
      <w:r>
        <w:rPr>
          <w:rFonts w:ascii="宋体" w:hAnsi="宋体" w:hint="eastAsia"/>
          <w:szCs w:val="21"/>
        </w:rPr>
        <w:t>）</w:t>
      </w:r>
      <w:r>
        <w:rPr>
          <w:rFonts w:ascii="宋体" w:hAnsi="宋体"/>
          <w:szCs w:val="21"/>
        </w:rPr>
        <w:t>商务</w:t>
      </w:r>
      <w:r>
        <w:rPr>
          <w:rFonts w:ascii="宋体" w:hAnsi="宋体" w:hint="eastAsia"/>
          <w:szCs w:val="21"/>
        </w:rPr>
        <w:t>要求</w:t>
      </w:r>
      <w:r>
        <w:rPr>
          <w:rFonts w:ascii="宋体" w:hAnsi="宋体"/>
          <w:szCs w:val="21"/>
        </w:rPr>
        <w:t>偏离表</w:t>
      </w:r>
    </w:p>
    <w:p>
      <w:pPr>
        <w:spacing w:before="78" w:beforeLines="25" w:after="78" w:afterLines="25"/>
        <w:ind w:firstLine="991" w:firstLineChars="472"/>
        <w:rPr>
          <w:rFonts w:ascii="宋体" w:hAnsi="宋体" w:hint="eastAsia"/>
          <w:szCs w:val="21"/>
        </w:rPr>
      </w:pPr>
      <w:r>
        <w:rPr>
          <w:rFonts w:ascii="宋体" w:hAnsi="宋体" w:hint="eastAsia"/>
          <w:szCs w:val="21"/>
        </w:rPr>
        <w:t>（</w:t>
      </w:r>
      <w:r>
        <w:rPr>
          <w:rFonts w:ascii="宋体" w:hAnsi="宋体" w:hint="eastAsia"/>
          <w:szCs w:val="21"/>
          <w:lang w:val="en-US" w:eastAsia="zh-CN"/>
        </w:rPr>
        <w:t>11</w:t>
      </w:r>
      <w:r>
        <w:rPr>
          <w:rFonts w:ascii="宋体" w:hAnsi="宋体" w:hint="eastAsia"/>
          <w:szCs w:val="21"/>
        </w:rPr>
        <w:t>）实施方案</w:t>
      </w:r>
    </w:p>
    <w:p>
      <w:pPr>
        <w:spacing w:before="78" w:beforeLines="25" w:after="78" w:afterLines="25"/>
        <w:ind w:firstLine="991" w:firstLineChars="472"/>
        <w:rPr>
          <w:rFonts w:ascii="宋体" w:hAnsi="宋体" w:hint="eastAsia"/>
          <w:szCs w:val="21"/>
        </w:rPr>
      </w:pPr>
      <w:r>
        <w:rPr>
          <w:rFonts w:ascii="宋体" w:hAnsi="宋体" w:hint="eastAsia"/>
          <w:szCs w:val="21"/>
          <w:lang w:eastAsia="zh-CN"/>
        </w:rPr>
        <w:t>（</w:t>
      </w:r>
      <w:r>
        <w:rPr>
          <w:rFonts w:ascii="宋体" w:hAnsi="宋体" w:hint="eastAsia"/>
          <w:szCs w:val="21"/>
          <w:lang w:val="en-US" w:eastAsia="zh-CN"/>
        </w:rPr>
        <w:t>12</w:t>
      </w:r>
      <w:r>
        <w:rPr>
          <w:rFonts w:ascii="宋体" w:hAnsi="宋体" w:hint="eastAsia"/>
          <w:szCs w:val="21"/>
          <w:lang w:eastAsia="zh-CN"/>
        </w:rPr>
        <w:t>）</w:t>
      </w:r>
      <w:r>
        <w:rPr>
          <w:rFonts w:ascii="宋体" w:hAnsi="宋体" w:hint="eastAsia"/>
          <w:szCs w:val="21"/>
        </w:rPr>
        <w:t>项目重点难点分析、应对措施及相关的合理化建议</w:t>
      </w:r>
    </w:p>
    <w:p>
      <w:pPr>
        <w:spacing w:before="78" w:beforeLines="25" w:after="78" w:afterLines="25"/>
        <w:ind w:firstLine="991" w:firstLineChars="472"/>
        <w:rPr>
          <w:rFonts w:asciiTheme="minorEastAsia" w:eastAsiaTheme="minorEastAsia" w:hAnsiTheme="minorEastAsia" w:cs="宋体" w:hint="eastAsia"/>
          <w:szCs w:val="21"/>
        </w:rPr>
      </w:pPr>
      <w:r>
        <w:rPr>
          <w:rFonts w:ascii="宋体" w:hAnsi="宋体" w:eastAsiaTheme="minorEastAsia" w:hint="eastAsia"/>
          <w:szCs w:val="21"/>
          <w:lang w:eastAsia="zh-CN"/>
        </w:rPr>
        <w:t>（</w:t>
      </w:r>
      <w:r>
        <w:rPr>
          <w:rFonts w:ascii="宋体" w:hAnsi="宋体" w:eastAsiaTheme="minorEastAsia" w:hint="eastAsia"/>
          <w:szCs w:val="21"/>
          <w:lang w:val="en-US" w:eastAsia="zh-CN"/>
        </w:rPr>
        <w:t>13</w:t>
      </w:r>
      <w:r>
        <w:rPr>
          <w:rFonts w:ascii="宋体" w:hAnsi="宋体" w:eastAsiaTheme="minorEastAsia" w:hint="eastAsia"/>
          <w:szCs w:val="21"/>
          <w:lang w:eastAsia="zh-CN"/>
        </w:rPr>
        <w:t>）</w:t>
      </w:r>
      <w:r>
        <w:rPr>
          <w:rFonts w:asciiTheme="minorEastAsia" w:eastAsiaTheme="minorEastAsia" w:hAnsiTheme="minorEastAsia" w:cs="宋体" w:hint="eastAsia"/>
          <w:szCs w:val="21"/>
        </w:rPr>
        <w:t>质量（完成时间、安全、环保）保障措施及方案</w:t>
      </w:r>
    </w:p>
    <w:p>
      <w:pPr>
        <w:spacing w:before="78" w:beforeLines="25" w:after="78" w:afterLines="25"/>
        <w:ind w:firstLine="991" w:firstLineChars="472"/>
        <w:rPr>
          <w:rFonts w:asciiTheme="minorEastAsia" w:eastAsiaTheme="minorEastAsia" w:hAnsiTheme="minorEastAsia" w:cs="宋体" w:hint="eastAsia"/>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14</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项目完成（服务期满）后的服务承诺</w:t>
      </w:r>
    </w:p>
    <w:p>
      <w:pPr>
        <w:spacing w:before="78" w:beforeLines="25" w:after="78" w:afterLines="25"/>
        <w:ind w:firstLine="991" w:firstLineChars="472"/>
        <w:rPr>
          <w:rFonts w:asciiTheme="minorEastAsia" w:eastAsiaTheme="minorEastAsia" w:hAnsiTheme="minorEastAsia" w:cs="宋体" w:hint="eastAsia"/>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15</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违约承诺</w:t>
      </w:r>
    </w:p>
    <w:p>
      <w:pPr>
        <w:spacing w:before="78" w:beforeLines="25" w:after="78" w:afterLines="25"/>
        <w:ind w:firstLine="991" w:firstLineChars="472"/>
        <w:rPr>
          <w:rFonts w:asciiTheme="minorEastAsia" w:eastAsiaTheme="minorEastAsia" w:hAnsiTheme="minorEastAsia" w:cs="宋体" w:hint="eastAsia"/>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16</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投标人同类项目业绩情况</w:t>
      </w:r>
    </w:p>
    <w:p>
      <w:pPr>
        <w:spacing w:before="78" w:beforeLines="25" w:after="78" w:afterLines="25"/>
        <w:ind w:firstLine="991" w:firstLineChars="472"/>
        <w:rPr>
          <w:rFonts w:ascii="宋体" w:hAnsi="宋体" w:hint="eastAsia"/>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17</w:t>
      </w:r>
      <w:r>
        <w:rPr>
          <w:rFonts w:asciiTheme="minorEastAsia" w:eastAsiaTheme="minorEastAsia" w:hAnsiTheme="minorEastAsia" w:cs="宋体" w:hint="eastAsia"/>
          <w:szCs w:val="21"/>
          <w:lang w:eastAsia="zh-CN"/>
        </w:rPr>
        <w:t>）</w:t>
      </w:r>
      <w:r>
        <w:rPr>
          <w:rFonts w:ascii="宋体" w:hAnsi="宋体" w:hint="eastAsia"/>
          <w:szCs w:val="21"/>
        </w:rPr>
        <w:t>履约评价</w:t>
      </w:r>
    </w:p>
    <w:p>
      <w:pPr>
        <w:spacing w:before="78" w:beforeLines="25" w:after="78" w:afterLines="25"/>
        <w:ind w:firstLine="991" w:firstLineChars="472"/>
        <w:rPr>
          <w:rFonts w:asciiTheme="minorEastAsia" w:eastAsiaTheme="minorEastAsia" w:hAnsiTheme="minorEastAsia" w:cs="宋体" w:hint="eastAsia"/>
          <w:szCs w:val="21"/>
        </w:rPr>
      </w:pPr>
      <w:r>
        <w:rPr>
          <w:rFonts w:ascii="宋体" w:hAnsi="宋体" w:eastAsiaTheme="minorEastAsia" w:hint="eastAsia"/>
          <w:szCs w:val="21"/>
          <w:lang w:eastAsia="zh-CN"/>
        </w:rPr>
        <w:t>（</w:t>
      </w:r>
      <w:r>
        <w:rPr>
          <w:rFonts w:ascii="宋体" w:hAnsi="宋体" w:eastAsiaTheme="minorEastAsia" w:hint="eastAsia"/>
          <w:szCs w:val="21"/>
          <w:lang w:val="en-US" w:eastAsia="zh-CN"/>
        </w:rPr>
        <w:t>18</w:t>
      </w:r>
      <w:r>
        <w:rPr>
          <w:rFonts w:ascii="宋体" w:hAnsi="宋体" w:eastAsiaTheme="minorEastAsia" w:hint="eastAsia"/>
          <w:szCs w:val="21"/>
          <w:lang w:eastAsia="zh-CN"/>
        </w:rPr>
        <w:t>）</w:t>
      </w:r>
      <w:r>
        <w:rPr>
          <w:rFonts w:asciiTheme="minorEastAsia" w:eastAsiaTheme="minorEastAsia" w:hAnsiTheme="minorEastAsia" w:cs="宋体" w:hint="eastAsia"/>
          <w:szCs w:val="21"/>
        </w:rPr>
        <w:t>拟安排的项目负责人情况（仅限一人）</w:t>
      </w:r>
    </w:p>
    <w:p>
      <w:pPr>
        <w:spacing w:before="78" w:beforeLines="25" w:after="78" w:afterLines="25"/>
        <w:ind w:firstLine="991" w:firstLineChars="472"/>
        <w:rPr>
          <w:rFonts w:asciiTheme="minorEastAsia" w:eastAsiaTheme="minorEastAsia" w:hAnsiTheme="minorEastAsia" w:cs="宋体" w:hint="eastAsia"/>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19</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拟安排的项目主要团队成员（主要技术人员）情况（项目负责人除外）</w:t>
      </w:r>
    </w:p>
    <w:p>
      <w:pPr>
        <w:spacing w:before="78" w:beforeLines="25" w:after="78" w:afterLines="25"/>
        <w:ind w:firstLine="991" w:firstLineChars="472"/>
        <w:rPr>
          <w:rFonts w:asciiTheme="minorEastAsia" w:eastAsiaTheme="minorEastAsia" w:hAnsiTheme="minorEastAsia" w:cs="宋体" w:hint="eastAsia"/>
          <w:szCs w:val="21"/>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20</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投标人自主知识产权产品（创新、设计）情况</w:t>
      </w:r>
    </w:p>
    <w:p>
      <w:pPr>
        <w:spacing w:before="78" w:beforeLines="25" w:after="78" w:afterLines="25"/>
        <w:ind w:firstLine="991" w:firstLineChars="472"/>
        <w:rPr>
          <w:rFonts w:eastAsia="宋体" w:asciiTheme="minorEastAsia" w:hAnsiTheme="minorEastAsia" w:hint="eastAsia"/>
          <w:szCs w:val="21"/>
          <w:lang w:eastAsia="zh-CN"/>
        </w:rPr>
      </w:pP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lang w:val="en-US" w:eastAsia="zh-CN"/>
        </w:rPr>
        <w:t>21</w:t>
      </w:r>
      <w:r>
        <w:rPr>
          <w:rFonts w:asciiTheme="minorEastAsia" w:eastAsiaTheme="minorEastAsia" w:hAnsiTheme="minorEastAsia" w:cs="宋体" w:hint="eastAsia"/>
          <w:szCs w:val="21"/>
          <w:lang w:eastAsia="zh-CN"/>
        </w:rPr>
        <w:t>）</w:t>
      </w:r>
      <w:r>
        <w:rPr>
          <w:rFonts w:asciiTheme="minorEastAsia" w:eastAsiaTheme="minorEastAsia" w:hAnsiTheme="minorEastAsia" w:cs="宋体" w:hint="eastAsia"/>
          <w:szCs w:val="21"/>
        </w:rPr>
        <w:t>服务响应时间</w:t>
      </w:r>
    </w:p>
    <w:p>
      <w:pPr>
        <w:spacing w:before="78" w:beforeLines="25" w:after="78" w:afterLines="25"/>
        <w:ind w:firstLine="991" w:firstLineChars="472"/>
        <w:rPr>
          <w:rFonts w:ascii="宋体" w:hAnsi="宋体"/>
          <w:szCs w:val="21"/>
        </w:rPr>
      </w:pPr>
      <w:r>
        <w:rPr>
          <w:rFonts w:ascii="宋体" w:hAnsi="宋体" w:hint="eastAsia"/>
          <w:szCs w:val="21"/>
        </w:rPr>
        <w:t>（</w:t>
      </w:r>
      <w:r>
        <w:rPr>
          <w:rFonts w:ascii="宋体" w:hAnsi="宋体" w:hint="eastAsia"/>
          <w:szCs w:val="21"/>
          <w:lang w:val="en-US" w:eastAsia="zh-CN"/>
        </w:rPr>
        <w:t>22</w:t>
      </w:r>
      <w:r>
        <w:rPr>
          <w:rFonts w:ascii="宋体" w:hAnsi="宋体" w:hint="eastAsia"/>
          <w:szCs w:val="21"/>
        </w:rPr>
        <w:t>）招标文件要求的其它内容或投标人认为需要补充的资料</w:t>
      </w:r>
    </w:p>
    <w:p>
      <w:pPr>
        <w:spacing w:before="78" w:beforeLines="25" w:after="78" w:afterLines="25"/>
        <w:rPr>
          <w:rFonts w:ascii="宋体" w:hAnsi="宋体"/>
          <w:szCs w:val="21"/>
        </w:rPr>
      </w:pPr>
    </w:p>
    <w:p>
      <w:pPr>
        <w:widowControl/>
        <w:ind w:firstLine="424" w:firstLineChars="202"/>
        <w:jc w:val="left"/>
        <w:rPr>
          <w:rFonts w:ascii="宋体" w:hAnsi="宋体" w:eastAsiaTheme="minorEastAsia"/>
          <w:b/>
          <w:kern w:val="0"/>
          <w:sz w:val="24"/>
          <w:szCs w:val="21"/>
        </w:rPr>
      </w:pPr>
      <w:r>
        <w:rPr>
          <w:rFonts w:ascii="宋体" w:hAnsi="宋体" w:eastAsiaTheme="minorEastAsia" w:hint="eastAsia"/>
          <w:b/>
          <w:kern w:val="0"/>
          <w:sz w:val="24"/>
          <w:szCs w:val="21"/>
        </w:rPr>
        <w:t>备注：</w:t>
      </w:r>
    </w:p>
    <w:p>
      <w:pPr>
        <w:widowControl/>
        <w:ind w:firstLine="424" w:firstLineChars="202"/>
        <w:jc w:val="left"/>
        <w:rPr>
          <w:rFonts w:ascii="宋体" w:hAnsi="宋体" w:eastAsiaTheme="minorEastAsia"/>
          <w:b/>
          <w:kern w:val="0"/>
          <w:sz w:val="24"/>
          <w:szCs w:val="21"/>
        </w:rPr>
      </w:pPr>
      <w:r>
        <w:rPr>
          <w:rFonts w:ascii="宋体" w:hAnsi="宋体" w:eastAsiaTheme="minorEastAsia" w:hint="eastAsia"/>
          <w:b/>
          <w:kern w:val="0"/>
          <w:sz w:val="24"/>
          <w:szCs w:val="21"/>
        </w:rPr>
        <w:t>1.本项目为网上电子投标项目，投标文件不需法人或授权委托人另行签字，无需加盖单位公章，招标文件专用条款另有规定的除外。</w:t>
      </w:r>
    </w:p>
    <w:p>
      <w:pPr>
        <w:widowControl/>
        <w:ind w:firstLine="424" w:firstLineChars="202"/>
        <w:jc w:val="left"/>
        <w:rPr>
          <w:rFonts w:ascii="宋体" w:hAnsi="宋体" w:eastAsiaTheme="minorEastAsia"/>
          <w:b/>
          <w:kern w:val="0"/>
          <w:sz w:val="24"/>
          <w:szCs w:val="21"/>
        </w:rPr>
      </w:pPr>
      <w:r>
        <w:rPr>
          <w:rFonts w:ascii="宋体" w:hAnsi="宋体" w:eastAsiaTheme="minorEastAsia" w:hint="eastAsia"/>
          <w:b/>
          <w:kern w:val="0"/>
          <w:sz w:val="24"/>
          <w:szCs w:val="21"/>
        </w:rPr>
        <w:t>2.关于填写“开标一览表”的说明：“开标一览表”中除“投标报价”外，其他信息不作为评审依据。</w:t>
      </w:r>
    </w:p>
    <w:p>
      <w:pPr>
        <w:widowControl/>
        <w:jc w:val="left"/>
        <w:rPr>
          <w:rFonts w:ascii="宋体" w:hAnsi="宋体"/>
          <w:szCs w:val="21"/>
        </w:rPr>
      </w:pPr>
      <w:r>
        <w:rPr>
          <w:rFonts w:ascii="宋体" w:hAnsi="宋体"/>
          <w:szCs w:val="21"/>
        </w:rPr>
        <w:br w:type="page"/>
      </w:r>
    </w:p>
    <w:p>
      <w:pPr>
        <w:rPr>
          <w:rFonts w:ascii="仿宋_GB2312" w:eastAsia="仿宋_GB2312" w:hAnsi="Times New Roman"/>
          <w:b/>
          <w:color w:val="FF0000"/>
          <w:sz w:val="30"/>
          <w:szCs w:val="30"/>
        </w:rPr>
      </w:pPr>
      <w:r>
        <w:rPr>
          <w:rFonts w:ascii="仿宋_GB2312" w:eastAsia="仿宋_GB2312" w:hAnsi="Times New Roman" w:hint="eastAsia"/>
          <w:b/>
          <w:color w:val="FF0000"/>
          <w:sz w:val="30"/>
          <w:szCs w:val="30"/>
        </w:rPr>
        <w:t>投标文件正文（信息公开部分）：</w:t>
      </w:r>
    </w:p>
    <w:p>
      <w:pPr>
        <w:pStyle w:val="Heading3"/>
        <w:jc w:val="center"/>
        <w:rPr>
          <w:rFonts w:ascii="黑体" w:eastAsia="黑体"/>
          <w:b w:val="0"/>
          <w:sz w:val="24"/>
        </w:rPr>
      </w:pPr>
      <w:r>
        <w:rPr>
          <w:rFonts w:ascii="黑体" w:eastAsia="黑体" w:hint="eastAsia"/>
          <w:b w:val="0"/>
          <w:sz w:val="24"/>
        </w:rPr>
        <w:t>一、投标函</w:t>
      </w:r>
    </w:p>
    <w:p>
      <w:pPr>
        <w:spacing w:line="360" w:lineRule="auto"/>
        <w:rPr>
          <w:rFonts w:ascii="宋体" w:hAnsi="宋体"/>
          <w:szCs w:val="21"/>
        </w:rPr>
      </w:pPr>
      <w:r>
        <w:rPr>
          <w:rFonts w:ascii="宋体" w:hAnsi="宋体" w:hint="eastAsia"/>
          <w:szCs w:val="21"/>
        </w:rPr>
        <w:t xml:space="preserve">深圳市中正招标有限公司：  </w:t>
      </w:r>
    </w:p>
    <w:p>
      <w:pPr>
        <w:spacing w:after="156" w:afterLines="50"/>
        <w:ind w:firstLine="420" w:firstLineChars="200"/>
        <w:rPr>
          <w:szCs w:val="21"/>
        </w:rPr>
      </w:pPr>
      <w:r>
        <w:rPr>
          <w:rFonts w:hint="eastAsia"/>
          <w:szCs w:val="21"/>
        </w:rPr>
        <w:t>1.根据已收到贵方的（项目编号为</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rPr>
        <w:t>项目）的招标文件，遵照《深圳经济特区政府采购条例》和《深圳网上政府采购管理暂行办法》等有关规定，我方经研究上述招标文件的专用条款及通用条款后，愿以投标书编制软件中《开标一览表》中填写的投标报价并按招标文件要求承包上述项目并修补其任何缺陷。</w:t>
      </w:r>
    </w:p>
    <w:p>
      <w:pPr>
        <w:spacing w:after="156" w:afterLines="50"/>
        <w:ind w:firstLine="420" w:firstLineChars="200"/>
        <w:rPr>
          <w:szCs w:val="21"/>
        </w:rPr>
      </w:pPr>
      <w:r>
        <w:rPr>
          <w:szCs w:val="21"/>
        </w:rPr>
        <w:t>2</w:t>
      </w:r>
      <w:r>
        <w:rPr>
          <w:rFonts w:hint="eastAsia"/>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pPr>
        <w:spacing w:after="156" w:afterLines="50"/>
        <w:ind w:firstLine="412" w:firstLineChars="196"/>
        <w:rPr>
          <w:rFonts w:ascii="宋体" w:hAnsi="宋体"/>
          <w:szCs w:val="21"/>
        </w:rPr>
      </w:pPr>
      <w:r>
        <w:rPr>
          <w:rFonts w:ascii="宋体" w:hAnsi="宋体" w:hint="eastAsia"/>
          <w:szCs w:val="21"/>
        </w:rPr>
        <w:t>3.我方同意所递交的投标文件在“对通用条款的补充内容”中的投标有效期内有效，在此期间内我方的投标有可能中标，我方将受此约束。</w:t>
      </w:r>
    </w:p>
    <w:p>
      <w:pPr>
        <w:spacing w:after="156" w:afterLines="50"/>
        <w:ind w:firstLine="412" w:firstLineChars="196"/>
        <w:rPr>
          <w:rFonts w:ascii="宋体" w:hAnsi="宋体"/>
          <w:szCs w:val="21"/>
        </w:rPr>
      </w:pPr>
      <w:r>
        <w:rPr>
          <w:rFonts w:ascii="宋体" w:hAnsi="宋体" w:hint="eastAsia"/>
          <w:szCs w:val="21"/>
        </w:rPr>
        <w:t>4.除非另外达成协议并生效，贵方的中标通知书和本投标文件将构成约束我们双方的合同。</w:t>
      </w:r>
    </w:p>
    <w:p>
      <w:pPr>
        <w:spacing w:after="156" w:afterLines="50"/>
        <w:ind w:firstLine="412" w:firstLineChars="196"/>
        <w:rPr>
          <w:rFonts w:ascii="宋体" w:hAnsi="宋体"/>
          <w:szCs w:val="21"/>
        </w:rPr>
      </w:pPr>
      <w:r>
        <w:rPr>
          <w:rFonts w:ascii="宋体" w:hAnsi="宋体" w:hint="eastAsia"/>
          <w:szCs w:val="21"/>
        </w:rPr>
        <w:t>5.我方理解贵方将不受必须接受你们所收到的最低标价或其它任何投标文件的约束。</w:t>
      </w:r>
    </w:p>
    <w:p>
      <w:pPr>
        <w:spacing w:after="156" w:afterLines="50"/>
        <w:ind w:firstLine="412" w:firstLineChars="196"/>
        <w:rPr>
          <w:rFonts w:ascii="宋体" w:hAnsi="宋体"/>
          <w:szCs w:val="21"/>
        </w:rPr>
      </w:pPr>
      <w:r>
        <w:rPr>
          <w:rFonts w:ascii="宋体" w:hAnsi="宋体" w:hint="eastAsia"/>
          <w:szCs w:val="21"/>
        </w:rPr>
        <w:t>6.</w:t>
      </w:r>
      <w:r>
        <w:rPr>
          <w:rFonts w:asciiTheme="minorEastAsia" w:eastAsiaTheme="minorEastAsia" w:hAnsiTheme="minorEastAsia" w:hint="eastAsia"/>
        </w:rPr>
        <w:t>我单位承诺在收到代理服务费缴费通知后7个工作日内领取中标（成交）通知书，逾期将视为我单位放弃中标（成交）资格。</w:t>
      </w:r>
    </w:p>
    <w:p>
      <w:pPr>
        <w:ind w:left="540" w:leftChars="257"/>
        <w:rPr>
          <w:szCs w:val="21"/>
          <w:u w:val="single"/>
        </w:rPr>
      </w:pPr>
      <w:r>
        <w:rPr>
          <w:rFonts w:hint="eastAsia"/>
          <w:szCs w:val="21"/>
        </w:rPr>
        <w:t>投标人：</w:t>
      </w:r>
      <w:r>
        <w:rPr>
          <w:rFonts w:hint="eastAsia"/>
          <w:szCs w:val="21"/>
          <w:u w:val="single"/>
        </w:rPr>
        <w:t xml:space="preserve">                   </w:t>
      </w:r>
      <w:r>
        <w:rPr>
          <w:rFonts w:hint="eastAsia"/>
          <w:szCs w:val="21"/>
        </w:rPr>
        <w:t xml:space="preserve">    单位地址：</w:t>
      </w:r>
      <w:r>
        <w:rPr>
          <w:rFonts w:hint="eastAsia"/>
          <w:szCs w:val="21"/>
          <w:u w:val="single"/>
        </w:rPr>
        <w:t xml:space="preserve">               </w:t>
      </w:r>
    </w:p>
    <w:p>
      <w:pPr>
        <w:ind w:left="540" w:leftChars="257"/>
        <w:rPr>
          <w:szCs w:val="21"/>
          <w:u w:val="single"/>
        </w:rPr>
      </w:pPr>
      <w:r>
        <w:rPr>
          <w:rFonts w:hint="eastAsia"/>
          <w:szCs w:val="21"/>
        </w:rPr>
        <w:t>法定代表人或其委托代理人：</w:t>
      </w:r>
      <w:r>
        <w:rPr>
          <w:rFonts w:hint="eastAsia"/>
          <w:szCs w:val="21"/>
          <w:u w:val="single"/>
        </w:rPr>
        <w:t xml:space="preserve">                   </w:t>
      </w:r>
    </w:p>
    <w:p>
      <w:pPr>
        <w:ind w:left="540" w:leftChars="257"/>
        <w:rPr>
          <w:szCs w:val="21"/>
          <w:u w:val="single"/>
        </w:rPr>
      </w:pPr>
      <w:r>
        <w:rPr>
          <w:rFonts w:hint="eastAsia"/>
          <w:szCs w:val="21"/>
        </w:rPr>
        <w:t>邮政编码：</w:t>
      </w:r>
      <w:r>
        <w:rPr>
          <w:rFonts w:hint="eastAsia"/>
          <w:szCs w:val="21"/>
          <w:u w:val="single"/>
        </w:rPr>
        <w:t xml:space="preserve">          </w:t>
      </w:r>
      <w:r>
        <w:rPr>
          <w:rFonts w:hint="eastAsia"/>
          <w:szCs w:val="21"/>
        </w:rPr>
        <w:t xml:space="preserve">  电话：</w:t>
      </w:r>
      <w:r>
        <w:rPr>
          <w:rFonts w:hint="eastAsia"/>
          <w:szCs w:val="21"/>
          <w:u w:val="single"/>
        </w:rPr>
        <w:t xml:space="preserve">          </w:t>
      </w:r>
      <w:r>
        <w:rPr>
          <w:rFonts w:hint="eastAsia"/>
          <w:szCs w:val="21"/>
        </w:rPr>
        <w:t xml:space="preserve">  传真：</w:t>
      </w:r>
      <w:r>
        <w:rPr>
          <w:rFonts w:hint="eastAsia"/>
          <w:szCs w:val="21"/>
          <w:u w:val="single"/>
        </w:rPr>
        <w:t xml:space="preserve">            </w:t>
      </w:r>
    </w:p>
    <w:p>
      <w:pPr>
        <w:ind w:left="540"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540"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firstLine="540" w:firstLineChars="257"/>
        <w:rPr>
          <w:sz w:val="24"/>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hint="eastAsia"/>
          <w:sz w:val="24"/>
        </w:rPr>
        <w:t xml:space="preserve">    </w:t>
      </w:r>
    </w:p>
    <w:p>
      <w:pPr>
        <w:ind w:firstLine="540" w:firstLineChars="257"/>
        <w:rPr>
          <w:sz w:val="24"/>
        </w:rPr>
      </w:pPr>
    </w:p>
    <w:p>
      <w:pPr>
        <w:rPr>
          <w:rFonts w:ascii="宋体" w:hAnsi="宋体"/>
          <w:szCs w:val="21"/>
        </w:rPr>
      </w:pPr>
      <w:r>
        <w:rPr>
          <w:rFonts w:hint="eastAsia"/>
          <w:szCs w:val="21"/>
          <w:u w:val="single"/>
        </w:rPr>
        <w:t>（备注：如联合体投标，投标人一栏仅需填写牵头人的名称）</w:t>
      </w:r>
    </w:p>
    <w:p>
      <w:pPr>
        <w:ind w:firstLine="540" w:firstLineChars="257"/>
        <w:rPr>
          <w:sz w:val="24"/>
        </w:rPr>
      </w:pPr>
      <w:r>
        <w:rPr>
          <w:rFonts w:hint="eastAsia"/>
          <w:sz w:val="24"/>
        </w:rPr>
        <w:t xml:space="preserve">                          </w:t>
      </w:r>
    </w:p>
    <w:p>
      <w:pPr>
        <w:pStyle w:val="Heading3"/>
        <w:jc w:val="center"/>
        <w:rPr>
          <w:rFonts w:ascii="黑体" w:eastAsia="黑体"/>
          <w:b w:val="0"/>
          <w:sz w:val="24"/>
        </w:rPr>
      </w:pPr>
      <w:r>
        <w:rPr>
          <w:rFonts w:ascii="黑体" w:eastAsia="黑体" w:hint="eastAsia"/>
          <w:b w:val="0"/>
          <w:sz w:val="24"/>
        </w:rPr>
        <w:t>二、资格响应文件</w:t>
      </w:r>
    </w:p>
    <w:p>
      <w:pPr>
        <w:adjustRightInd w:val="0"/>
        <w:snapToGrid w:val="0"/>
        <w:spacing w:line="360" w:lineRule="auto"/>
        <w:ind w:firstLine="424" w:firstLineChars="202"/>
        <w:rPr>
          <w:rFonts w:ascii="宋体" w:hAnsi="宋体"/>
          <w:bCs/>
          <w:snapToGrid w:val="0"/>
          <w:kern w:val="0"/>
          <w:szCs w:val="21"/>
        </w:rPr>
      </w:pPr>
      <w:r>
        <w:rPr>
          <w:rFonts w:ascii="宋体" w:hAnsi="宋体" w:hint="eastAsia"/>
          <w:bCs/>
          <w:snapToGrid w:val="0"/>
          <w:kern w:val="0"/>
          <w:szCs w:val="21"/>
        </w:rPr>
        <w:t>1、</w:t>
      </w:r>
      <w:r>
        <w:rPr>
          <w:rFonts w:ascii="宋体" w:hAnsi="宋体"/>
          <w:bCs/>
          <w:snapToGrid w:val="0"/>
          <w:kern w:val="0"/>
          <w:szCs w:val="21"/>
        </w:rPr>
        <w:t>营业执照</w:t>
      </w:r>
      <w:r>
        <w:rPr>
          <w:rFonts w:ascii="宋体" w:hAnsi="宋体" w:hint="eastAsia"/>
          <w:bCs/>
          <w:snapToGrid w:val="0"/>
          <w:kern w:val="0"/>
          <w:szCs w:val="21"/>
        </w:rPr>
        <w:t>或法人证书</w:t>
      </w:r>
      <w:r>
        <w:rPr>
          <w:rFonts w:ascii="Times New Roman" w:hAnsi="宋体" w:hint="eastAsia"/>
          <w:szCs w:val="21"/>
        </w:rPr>
        <w:t>等证明材料</w:t>
      </w:r>
      <w:r>
        <w:rPr>
          <w:rFonts w:ascii="宋体" w:hAnsi="宋体" w:hint="eastAsia"/>
          <w:bCs/>
          <w:snapToGrid w:val="0"/>
          <w:kern w:val="0"/>
          <w:szCs w:val="21"/>
        </w:rPr>
        <w:t>（扫描件）</w:t>
      </w:r>
    </w:p>
    <w:p>
      <w:pPr>
        <w:adjustRightInd w:val="0"/>
        <w:snapToGrid w:val="0"/>
        <w:spacing w:line="360" w:lineRule="auto"/>
        <w:ind w:firstLine="424" w:firstLineChars="202"/>
        <w:rPr>
          <w:rFonts w:ascii="宋体" w:hAnsi="宋体"/>
          <w:szCs w:val="24"/>
        </w:rPr>
      </w:pPr>
      <w:r>
        <w:rPr>
          <w:rFonts w:ascii="宋体" w:hAnsi="宋体" w:hint="eastAsia"/>
          <w:bCs/>
          <w:snapToGrid w:val="0"/>
          <w:kern w:val="0"/>
          <w:szCs w:val="21"/>
        </w:rPr>
        <w:t>2、</w:t>
      </w:r>
      <w:r>
        <w:rPr>
          <w:rFonts w:ascii="Times New Roman" w:hAnsi="Times New Roman" w:hint="eastAsia"/>
          <w:szCs w:val="21"/>
        </w:rPr>
        <w:t>政府采购投标及履约承诺函</w:t>
      </w:r>
    </w:p>
    <w:p>
      <w:pPr>
        <w:adjustRightInd w:val="0"/>
        <w:snapToGrid w:val="0"/>
        <w:spacing w:line="360" w:lineRule="auto"/>
        <w:ind w:firstLine="424" w:firstLineChars="202"/>
        <w:rPr>
          <w:rFonts w:ascii="宋体" w:hAnsi="宋体" w:hint="eastAsia"/>
          <w:szCs w:val="24"/>
        </w:rPr>
      </w:pPr>
      <w:r>
        <w:rPr>
          <w:rFonts w:ascii="宋体" w:hAnsi="宋体" w:hint="eastAsia"/>
          <w:szCs w:val="24"/>
        </w:rPr>
        <w:t>3、中小企业声明函等符合政府采购扶持政策的证明材料</w:t>
      </w:r>
    </w:p>
    <w:p>
      <w:pPr>
        <w:adjustRightInd w:val="0"/>
        <w:snapToGrid w:val="0"/>
        <w:spacing w:line="360" w:lineRule="auto"/>
        <w:ind w:firstLine="424" w:firstLineChars="202"/>
        <w:rPr>
          <w:rFonts w:ascii="宋体" w:hAnsi="宋体"/>
          <w:szCs w:val="24"/>
        </w:rPr>
      </w:pPr>
      <w:r>
        <w:rPr>
          <w:rFonts w:ascii="宋体" w:hAnsi="宋体" w:hint="eastAsia"/>
          <w:szCs w:val="24"/>
          <w:lang w:val="en-US" w:eastAsia="zh-CN"/>
        </w:rPr>
        <w:t>4、</w:t>
      </w:r>
      <w:r>
        <w:rPr>
          <w:rFonts w:ascii="宋体" w:hAnsi="宋体" w:hint="eastAsia"/>
          <w:szCs w:val="24"/>
        </w:rPr>
        <w:t>其它资格证明材料（如有，按招标公告“申请人的资格要求”提供）</w:t>
      </w:r>
    </w:p>
    <w:p>
      <w:pPr>
        <w:rPr>
          <w:szCs w:val="21"/>
          <w:u w:val="single"/>
        </w:rPr>
      </w:pPr>
    </w:p>
    <w:p>
      <w:pPr>
        <w:rPr>
          <w:rFonts w:ascii="宋体" w:hAnsi="宋体"/>
          <w:szCs w:val="21"/>
        </w:rPr>
      </w:pPr>
      <w:r>
        <w:rPr>
          <w:rFonts w:hint="eastAsia"/>
          <w:szCs w:val="21"/>
          <w:u w:val="single"/>
        </w:rPr>
        <w:t>（备注：如联合体投标，联合体各方均应按要求提供资格响应文件）</w:t>
      </w:r>
    </w:p>
    <w:p>
      <w:pPr>
        <w:pStyle w:val="Heading3"/>
        <w:jc w:val="center"/>
        <w:rPr>
          <w:rFonts w:ascii="黑体" w:eastAsia="黑体"/>
          <w:b w:val="0"/>
          <w:sz w:val="24"/>
        </w:rPr>
      </w:pPr>
    </w:p>
    <w:p>
      <w:pPr>
        <w:pStyle w:val="Heading3"/>
        <w:jc w:val="center"/>
        <w:rPr>
          <w:rFonts w:ascii="黑体" w:eastAsia="黑体"/>
          <w:b w:val="0"/>
          <w:sz w:val="24"/>
        </w:rPr>
      </w:pPr>
      <w:r>
        <w:rPr>
          <w:rFonts w:ascii="黑体" w:eastAsia="黑体" w:hint="eastAsia"/>
          <w:b w:val="0"/>
          <w:sz w:val="24"/>
        </w:rPr>
        <w:t>政府采购投标及履约承诺函</w:t>
      </w:r>
    </w:p>
    <w:p>
      <w:pPr>
        <w:rPr>
          <w:rFonts w:ascii="宋体" w:hAnsi="宋体"/>
          <w:szCs w:val="21"/>
        </w:rPr>
      </w:pPr>
      <w:r>
        <w:rPr>
          <w:rFonts w:ascii="宋体" w:hAnsi="宋体" w:hint="eastAsia"/>
          <w:szCs w:val="21"/>
        </w:rPr>
        <w:t>深圳市中正招标有限公司：</w:t>
      </w:r>
    </w:p>
    <w:p>
      <w:pPr>
        <w:ind w:right="-815" w:firstLine="420" w:firstLineChars="200"/>
        <w:rPr>
          <w:rFonts w:ascii="宋体" w:hAnsi="宋体"/>
          <w:szCs w:val="21"/>
        </w:rPr>
      </w:pPr>
      <w:r>
        <w:rPr>
          <w:rFonts w:ascii="宋体" w:hAnsi="宋体" w:hint="eastAsia"/>
          <w:szCs w:val="21"/>
        </w:rPr>
        <w:t>我单位承诺：</w:t>
      </w:r>
    </w:p>
    <w:p>
      <w:pPr>
        <w:ind w:firstLine="424" w:firstLineChars="202"/>
        <w:rPr>
          <w:rFonts w:ascii="宋体" w:hAnsi="宋体"/>
          <w:szCs w:val="21"/>
        </w:rPr>
      </w:pPr>
      <w:r>
        <w:rPr>
          <w:rFonts w:ascii="宋体" w:hAnsi="宋体" w:hint="eastAsia"/>
          <w:szCs w:val="21"/>
        </w:rPr>
        <w:t>1.我单位满足《中华人民共和国政府采购法》第二十二条规定的下列条件：</w:t>
      </w:r>
    </w:p>
    <w:p>
      <w:pPr>
        <w:ind w:firstLine="424" w:firstLineChars="202"/>
        <w:rPr>
          <w:rFonts w:ascii="宋体" w:hAnsi="宋体"/>
          <w:szCs w:val="21"/>
        </w:rPr>
      </w:pPr>
      <w:r>
        <w:rPr>
          <w:rFonts w:ascii="宋体" w:hAnsi="宋体" w:hint="eastAsia"/>
          <w:szCs w:val="21"/>
        </w:rPr>
        <w:t>（一）具有独立承担民事责任的能力；</w:t>
      </w:r>
    </w:p>
    <w:p>
      <w:pPr>
        <w:ind w:firstLine="424" w:firstLineChars="202"/>
        <w:rPr>
          <w:rFonts w:ascii="宋体" w:hAnsi="宋体"/>
          <w:szCs w:val="21"/>
        </w:rPr>
      </w:pPr>
      <w:r>
        <w:rPr>
          <w:rFonts w:ascii="宋体" w:hAnsi="宋体" w:hint="eastAsia"/>
          <w:szCs w:val="21"/>
        </w:rPr>
        <w:t>（二）具有良好的商业信誉和健全的财务会计制度；</w:t>
      </w:r>
    </w:p>
    <w:p>
      <w:pPr>
        <w:ind w:firstLine="424" w:firstLineChars="202"/>
        <w:rPr>
          <w:rFonts w:ascii="宋体" w:hAnsi="宋体"/>
          <w:szCs w:val="21"/>
        </w:rPr>
      </w:pPr>
      <w:r>
        <w:rPr>
          <w:rFonts w:ascii="宋体" w:hAnsi="宋体" w:hint="eastAsia"/>
          <w:szCs w:val="21"/>
        </w:rPr>
        <w:t>（三）具有履行合同所必需的设备和专业技术能力；</w:t>
      </w:r>
    </w:p>
    <w:p>
      <w:pPr>
        <w:ind w:firstLine="424" w:firstLineChars="202"/>
        <w:rPr>
          <w:rFonts w:ascii="宋体" w:hAnsi="宋体"/>
          <w:szCs w:val="21"/>
        </w:rPr>
      </w:pPr>
      <w:r>
        <w:rPr>
          <w:rFonts w:ascii="宋体" w:hAnsi="宋体" w:hint="eastAsia"/>
          <w:szCs w:val="21"/>
        </w:rPr>
        <w:t>（四）有依法缴纳税收和社会保障资金的良好记录；</w:t>
      </w:r>
    </w:p>
    <w:p>
      <w:pPr>
        <w:ind w:firstLine="424" w:firstLineChars="202"/>
        <w:rPr>
          <w:rFonts w:ascii="宋体" w:hAnsi="宋体"/>
          <w:szCs w:val="21"/>
        </w:rPr>
      </w:pPr>
      <w:r>
        <w:rPr>
          <w:rFonts w:ascii="宋体" w:hAnsi="宋体" w:hint="eastAsia"/>
          <w:szCs w:val="21"/>
        </w:rPr>
        <w:t>（五）参加政府采购活动前三年内，在经营活动中没有重大违法记录；</w:t>
      </w:r>
    </w:p>
    <w:p>
      <w:pPr>
        <w:ind w:firstLine="424" w:firstLineChars="202"/>
        <w:rPr>
          <w:rFonts w:ascii="宋体" w:hAnsi="宋体"/>
          <w:szCs w:val="21"/>
        </w:rPr>
      </w:pPr>
      <w:r>
        <w:rPr>
          <w:rFonts w:ascii="宋体" w:hAnsi="宋体" w:hint="eastAsia"/>
          <w:szCs w:val="21"/>
        </w:rPr>
        <w:t>（六）法律、行政法规规定的其他条件。</w:t>
      </w:r>
    </w:p>
    <w:p>
      <w:pPr>
        <w:ind w:firstLine="424" w:firstLineChars="202"/>
        <w:rPr>
          <w:rFonts w:ascii="宋体" w:hAnsi="宋体"/>
          <w:szCs w:val="21"/>
        </w:rPr>
      </w:pPr>
      <w:r>
        <w:rPr>
          <w:rFonts w:ascii="宋体" w:hAnsi="宋体" w:hint="eastAsia"/>
          <w:szCs w:val="21"/>
        </w:rPr>
        <w:t>2.我单位参与本项目采购活动前三年内，在经营活动中没有重大违法记录，包括因违法经营受到刑事处罚或者责令停产停业、吊销许可证或者执照、较大数额罚款等行政处罚。</w:t>
      </w:r>
    </w:p>
    <w:p>
      <w:pPr>
        <w:ind w:firstLine="424" w:firstLineChars="202"/>
        <w:rPr>
          <w:rFonts w:ascii="宋体" w:hAnsi="宋体"/>
          <w:szCs w:val="21"/>
        </w:rPr>
      </w:pPr>
      <w:r>
        <w:rPr>
          <w:rFonts w:ascii="宋体" w:hAnsi="宋体" w:hint="eastAsia"/>
          <w:szCs w:val="21"/>
        </w:rPr>
        <w:t>3.我单位参与本项目政府采购活动时不存在被有关部门禁止参与政府采购活动且在有效期内的情况；与其他投标供应商不存在“单位负责人为同一人或者存在直接控股、管理关系”的情况；</w:t>
      </w:r>
      <w:r>
        <w:rPr>
          <w:rFonts w:asciiTheme="minorEastAsia" w:eastAsiaTheme="minorEastAsia" w:hAnsiTheme="minorEastAsia" w:hint="eastAsia"/>
          <w:snapToGrid w:val="0"/>
        </w:rPr>
        <w:t>除单一来源采购项目外，为采购项目提供整体设计、规范编制或者项目管理、监理、检测等服务的供应商，不得再参加该采购项目的其他采购活动</w:t>
      </w:r>
      <w:r>
        <w:rPr>
          <w:rFonts w:ascii="宋体" w:hAnsi="宋体" w:hint="eastAsia"/>
          <w:szCs w:val="21"/>
        </w:rPr>
        <w:t>。</w:t>
      </w:r>
    </w:p>
    <w:p>
      <w:pPr>
        <w:ind w:firstLine="424" w:firstLineChars="202"/>
        <w:rPr>
          <w:rFonts w:ascii="宋体" w:hAnsi="宋体"/>
          <w:szCs w:val="21"/>
        </w:rPr>
      </w:pPr>
      <w:r>
        <w:rPr>
          <w:rFonts w:ascii="宋体" w:hAnsi="宋体" w:hint="eastAsia"/>
          <w:szCs w:val="21"/>
        </w:rPr>
        <w:t>4.我单位承诺非联合体投标，不非法转包或分包，为本项目所提供的货物或服务未侵犯知识产权。</w:t>
      </w:r>
    </w:p>
    <w:p>
      <w:pPr>
        <w:ind w:firstLine="424" w:firstLineChars="202"/>
        <w:rPr>
          <w:rFonts w:ascii="宋体" w:hAnsi="宋体"/>
          <w:szCs w:val="21"/>
        </w:rPr>
      </w:pPr>
      <w:r>
        <w:rPr>
          <w:rFonts w:ascii="宋体" w:hAnsi="宋体" w:hint="eastAsia"/>
          <w:szCs w:val="21"/>
        </w:rPr>
        <w:t>5.我单位承诺不存在《深圳市财政局政府采购供应商信用信息管理办法》（深财规〔2023〕3号）列明的严重违法失信行为。</w:t>
      </w:r>
    </w:p>
    <w:p>
      <w:pPr>
        <w:ind w:firstLine="424" w:firstLineChars="202"/>
        <w:rPr>
          <w:rFonts w:ascii="宋体" w:hAnsi="宋体"/>
          <w:szCs w:val="21"/>
        </w:rPr>
      </w:pPr>
      <w:r>
        <w:rPr>
          <w:rFonts w:ascii="宋体" w:hAnsi="宋体" w:hint="eastAsia"/>
          <w:szCs w:val="21"/>
        </w:rPr>
        <w:t>6.我单位参与该项目投标，严格遵循公平竞争的原则，不妨碍其他投标人的竞争行为，不损害采购人或者其他投标人的合法权益，与其他采购参加人不存在</w:t>
      </w:r>
      <w:r>
        <w:rPr>
          <w:rFonts w:ascii="宋体" w:hAnsi="宋体" w:hint="eastAsia"/>
          <w:szCs w:val="21"/>
          <w:lang w:eastAsia="zh-CN"/>
        </w:rPr>
        <w:t>包括但不限于以下</w:t>
      </w:r>
      <w:r>
        <w:rPr>
          <w:rFonts w:ascii="宋体" w:hAnsi="宋体" w:hint="eastAsia"/>
          <w:szCs w:val="21"/>
        </w:rPr>
        <w:t>串通投标情形：</w:t>
      </w:r>
    </w:p>
    <w:p>
      <w:pPr>
        <w:ind w:firstLine="424" w:firstLineChars="202"/>
        <w:rPr>
          <w:rFonts w:ascii="宋体" w:hAnsi="宋体"/>
          <w:szCs w:val="21"/>
        </w:rPr>
      </w:pPr>
      <w:r>
        <w:rPr>
          <w:rFonts w:ascii="宋体" w:hAnsi="宋体" w:hint="eastAsia"/>
          <w:szCs w:val="21"/>
        </w:rPr>
        <w:t>（1）投标供应商之间相互约定给予未中标的供应商利益补偿；</w:t>
      </w:r>
    </w:p>
    <w:p>
      <w:pPr>
        <w:ind w:firstLine="424" w:firstLineChars="202"/>
        <w:rPr>
          <w:rFonts w:ascii="宋体" w:hAnsi="宋体"/>
          <w:szCs w:val="21"/>
        </w:rPr>
      </w:pPr>
      <w:r>
        <w:rPr>
          <w:rFonts w:ascii="宋体" w:hAnsi="宋体" w:hint="eastAsia"/>
          <w:szCs w:val="21"/>
        </w:rPr>
        <w:t>（2）不同投标供应商的法定代表人、主要经营负责人、项目投标授权代表人、项目负责人、主要技术人员为同一人、属同一单位或者在同一单位缴纳社会保险；</w:t>
      </w:r>
    </w:p>
    <w:p>
      <w:pPr>
        <w:ind w:firstLine="424" w:firstLineChars="202"/>
        <w:rPr>
          <w:rFonts w:ascii="宋体" w:hAnsi="宋体"/>
          <w:szCs w:val="21"/>
        </w:rPr>
      </w:pPr>
      <w:r>
        <w:rPr>
          <w:rFonts w:ascii="宋体" w:hAnsi="宋体" w:hint="eastAsia"/>
          <w:szCs w:val="21"/>
        </w:rPr>
        <w:t>（3）不同投标供应商的投标文件由同一单位或者同一人编制，或者由同一人分阶段参与编制的；</w:t>
      </w:r>
    </w:p>
    <w:p>
      <w:pPr>
        <w:ind w:firstLine="424" w:firstLineChars="202"/>
        <w:rPr>
          <w:rFonts w:ascii="宋体" w:hAnsi="宋体"/>
          <w:szCs w:val="21"/>
        </w:rPr>
      </w:pPr>
      <w:r>
        <w:rPr>
          <w:rFonts w:ascii="宋体" w:hAnsi="宋体" w:hint="eastAsia"/>
          <w:szCs w:val="21"/>
        </w:rPr>
        <w:t>（4）不同投标供应商的投标文件或部分投标文件相互混装；</w:t>
      </w:r>
    </w:p>
    <w:p>
      <w:pPr>
        <w:ind w:firstLine="424" w:firstLineChars="202"/>
        <w:rPr>
          <w:rFonts w:ascii="宋体" w:hAnsi="宋体"/>
          <w:szCs w:val="21"/>
        </w:rPr>
      </w:pPr>
      <w:r>
        <w:rPr>
          <w:rFonts w:ascii="宋体" w:hAnsi="宋体" w:hint="eastAsia"/>
          <w:szCs w:val="21"/>
        </w:rPr>
        <w:t>（5）不同投标供应商的投标文件内容存在非正常一致；</w:t>
      </w:r>
    </w:p>
    <w:p>
      <w:pPr>
        <w:ind w:firstLine="424" w:firstLineChars="202"/>
        <w:rPr>
          <w:rFonts w:ascii="宋体" w:hAnsi="宋体"/>
          <w:szCs w:val="21"/>
        </w:rPr>
      </w:pPr>
      <w:r>
        <w:rPr>
          <w:rFonts w:ascii="宋体" w:hAnsi="宋体" w:hint="eastAsia"/>
          <w:szCs w:val="21"/>
        </w:rPr>
        <w:t>（6）由同一单位工作人员为两家以上（含两家）供应商进行同一项投标活动的；</w:t>
      </w:r>
    </w:p>
    <w:p>
      <w:pPr>
        <w:ind w:firstLine="424" w:firstLineChars="202"/>
        <w:rPr>
          <w:rFonts w:ascii="宋体" w:hAnsi="宋体"/>
          <w:szCs w:val="21"/>
        </w:rPr>
      </w:pPr>
      <w:r>
        <w:rPr>
          <w:rFonts w:ascii="宋体" w:hAnsi="宋体" w:hint="eastAsia"/>
          <w:szCs w:val="21"/>
        </w:rPr>
        <w:t>（7）主管部门依照法律、法规认定的其他情形。</w:t>
      </w:r>
    </w:p>
    <w:p>
      <w:pPr>
        <w:ind w:firstLine="424" w:firstLineChars="202"/>
        <w:rPr>
          <w:rFonts w:ascii="宋体" w:hAnsi="宋体"/>
          <w:szCs w:val="21"/>
        </w:rPr>
      </w:pPr>
      <w:r>
        <w:rPr>
          <w:rFonts w:ascii="宋体" w:hAnsi="宋体" w:hint="eastAsia"/>
          <w:szCs w:val="21"/>
        </w:rPr>
        <w:t>7.我单位如果中标，做到守信，不偷工减料，依照本项目招标文件需求内容、签署的采购合同及本单位在投标中所作的一切承诺履约。</w:t>
      </w:r>
    </w:p>
    <w:p>
      <w:pPr>
        <w:ind w:firstLine="424" w:firstLineChars="202"/>
        <w:rPr>
          <w:rFonts w:ascii="宋体" w:hAnsi="宋体"/>
          <w:szCs w:val="21"/>
        </w:rPr>
      </w:pPr>
      <w:r>
        <w:rPr>
          <w:rFonts w:ascii="宋体" w:hAnsi="宋体" w:hint="eastAsia"/>
          <w:szCs w:val="21"/>
        </w:rPr>
        <w:t>8.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4" w:firstLineChars="202"/>
        <w:rPr>
          <w:rFonts w:ascii="宋体" w:hAnsi="宋体"/>
          <w:szCs w:val="21"/>
        </w:rPr>
      </w:pPr>
      <w:r>
        <w:rPr>
          <w:rFonts w:ascii="宋体" w:hAnsi="宋体" w:hint="eastAsia"/>
          <w:szCs w:val="21"/>
        </w:rPr>
        <w:t>9.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4" w:firstLineChars="202"/>
        <w:rPr>
          <w:rFonts w:ascii="宋体" w:hAnsi="宋体"/>
          <w:szCs w:val="21"/>
        </w:rPr>
      </w:pPr>
      <w:r>
        <w:rPr>
          <w:rFonts w:ascii="宋体" w:hAnsi="宋体" w:hint="eastAsia"/>
          <w:szCs w:val="21"/>
        </w:rPr>
        <w:t>10.我单位获得中标、成交资格后无正当理由放弃中标、成交资格的，自愿接受政府采购主管部门将我单位放弃中标、成交资格的信息公示在深圳市政府采购监管网，公示期一年，一切不利后果我单位均自愿承担。</w:t>
      </w:r>
    </w:p>
    <w:p>
      <w:pPr>
        <w:ind w:firstLine="424" w:firstLineChars="202"/>
        <w:rPr>
          <w:rFonts w:ascii="宋体" w:hAnsi="宋体"/>
          <w:szCs w:val="21"/>
        </w:rPr>
      </w:pPr>
      <w:r>
        <w:rPr>
          <w:rFonts w:ascii="宋体" w:hAnsi="宋体" w:hint="eastAsia"/>
          <w:szCs w:val="21"/>
        </w:rPr>
        <w:t>以上承诺，如有违反，愿依照相关法律法规处理，并承担由此给采购人带来的损失。</w:t>
      </w:r>
    </w:p>
    <w:p>
      <w:pPr>
        <w:ind w:firstLine="424" w:firstLineChars="202"/>
        <w:rPr>
          <w:rFonts w:ascii="宋体" w:hAnsi="宋体"/>
          <w:szCs w:val="21"/>
        </w:rPr>
      </w:pPr>
    </w:p>
    <w:p>
      <w:pPr>
        <w:jc w:val="center"/>
      </w:pPr>
      <w:r>
        <w:rPr>
          <w:rFonts w:hint="eastAsia"/>
          <w:szCs w:val="21"/>
        </w:rPr>
        <w:t xml:space="preserve">                             投标人：</w:t>
      </w:r>
    </w:p>
    <w:p>
      <w:pPr>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ind w:firstLine="424" w:firstLineChars="202"/>
        <w:rPr>
          <w:rFonts w:ascii="宋体" w:hAnsi="宋体"/>
          <w:szCs w:val="21"/>
        </w:rPr>
      </w:pPr>
    </w:p>
    <w:p/>
    <w:p>
      <w:pPr>
        <w:rPr>
          <w:rFonts w:ascii="宋体" w:hAnsi="宋体"/>
          <w:szCs w:val="21"/>
        </w:rPr>
      </w:pPr>
      <w:r>
        <w:rPr>
          <w:rFonts w:hint="eastAsia"/>
          <w:szCs w:val="21"/>
          <w:u w:val="single"/>
        </w:rPr>
        <w:t>（备注：如联合体投标，投标人一栏需填写联合体各方的名称）</w:t>
      </w:r>
    </w:p>
    <w:p/>
    <w:p>
      <w:pPr>
        <w:ind w:firstLine="420" w:firstLineChars="200"/>
        <w:rPr>
          <w:rFonts w:cs="Courier New"/>
          <w:snapToGrid w:val="0"/>
          <w:szCs w:val="18"/>
        </w:rPr>
      </w:pPr>
    </w:p>
    <w:p>
      <w:pPr>
        <w:jc w:val="center"/>
        <w:outlineLvl w:val="3"/>
        <w:rPr>
          <w:rFonts w:ascii="黑体" w:eastAsia="黑体" w:hAnsi="宋体"/>
          <w:bCs/>
          <w:kern w:val="0"/>
          <w:sz w:val="24"/>
          <w:szCs w:val="32"/>
        </w:rPr>
      </w:pPr>
      <w:r>
        <w:rPr>
          <w:rFonts w:ascii="黑体" w:eastAsia="黑体" w:hAnsi="宋体" w:hint="eastAsia"/>
          <w:bCs/>
          <w:kern w:val="0"/>
          <w:sz w:val="24"/>
          <w:szCs w:val="32"/>
        </w:rPr>
        <w:t>中小企业声明函等符合政府采购扶持政策的证明材料</w:t>
      </w:r>
    </w:p>
    <w:p>
      <w:pPr>
        <w:jc w:val="left"/>
        <w:outlineLvl w:val="3"/>
        <w:rPr>
          <w:rFonts w:ascii="黑体" w:eastAsia="黑体" w:hAnsi="宋体"/>
          <w:bCs/>
          <w:kern w:val="0"/>
          <w:sz w:val="24"/>
          <w:szCs w:val="32"/>
        </w:rPr>
      </w:pPr>
    </w:p>
    <w:p>
      <w:pPr>
        <w:widowControl/>
        <w:snapToGrid w:val="0"/>
        <w:spacing w:line="360" w:lineRule="auto"/>
        <w:jc w:val="left"/>
        <w:outlineLvl w:val="4"/>
        <w:rPr>
          <w:rFonts w:ascii="仿宋" w:eastAsia="仿宋" w:hAnsi="仿宋"/>
          <w:b/>
          <w:bCs/>
          <w:kern w:val="0"/>
          <w:sz w:val="25"/>
          <w:szCs w:val="25"/>
        </w:rPr>
      </w:pPr>
      <w:r>
        <w:rPr>
          <w:rFonts w:ascii="仿宋" w:eastAsia="仿宋" w:hAnsi="仿宋" w:hint="eastAsia"/>
          <w:b/>
          <w:bCs/>
          <w:kern w:val="0"/>
          <w:sz w:val="25"/>
          <w:szCs w:val="25"/>
        </w:rPr>
        <w:t>填写指引：</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1、该部分内容由投标人根据自身实际情况填写，投标人提供的声明函不属实的，属于提供虚假资料谋取中标，依照《中华人民共和国政府采购法》等国家有关规定追究相应责任。</w:t>
      </w:r>
    </w:p>
    <w:p>
      <w:pPr>
        <w:widowControl/>
        <w:snapToGrid w:val="0"/>
        <w:spacing w:line="360" w:lineRule="auto"/>
        <w:ind w:firstLine="426"/>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2、该部分内容填写需要参考的相关文件包括但不限于（具体内容详见附件）：</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kern w:val="0"/>
          <w:szCs w:val="21"/>
        </w:rPr>
        <w:t>1</w:t>
      </w:r>
      <w:r>
        <w:rPr>
          <w:rFonts w:asciiTheme="minorEastAsia" w:eastAsiaTheme="minorEastAsia" w:hAnsiTheme="minorEastAsia" w:hint="eastAsia"/>
          <w:kern w:val="0"/>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财政部 工业和信息化部关于印发《政府采购促进中小企业发展管理办法》的通知（财库〔2020〕46号）</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w:t>
      </w:r>
      <w:r>
        <w:rPr>
          <w:rFonts w:asciiTheme="minorEastAsia" w:eastAsiaTheme="minorEastAsia" w:hAnsiTheme="minorEastAsia"/>
          <w:kern w:val="0"/>
          <w:szCs w:val="21"/>
        </w:rPr>
        <w:t>2</w:t>
      </w:r>
      <w:r>
        <w:rPr>
          <w:rFonts w:asciiTheme="minorEastAsia" w:eastAsiaTheme="minorEastAsia" w:hAnsiTheme="minorEastAsia" w:hint="eastAsia"/>
          <w:kern w:val="0"/>
          <w:szCs w:val="21"/>
        </w:rPr>
        <w:t>)</w:t>
      </w:r>
      <w:bookmarkStart w:id="10" w:name="_Hlk71925120"/>
      <w:r>
        <w:rPr>
          <w:rFonts w:asciiTheme="minorEastAsia" w:eastAsiaTheme="minorEastAsia" w:hAnsiTheme="minorEastAsia" w:hint="eastAsia"/>
          <w:kern w:val="0"/>
          <w:szCs w:val="21"/>
        </w:rPr>
        <w:t>《关于印发中小企业划型标准规定的通知》（工信部联企业〔2011〕300 号</w:t>
      </w:r>
      <w:bookmarkEnd w:id="10"/>
      <w:r>
        <w:rPr>
          <w:rFonts w:asciiTheme="minorEastAsia" w:eastAsiaTheme="minorEastAsia" w:hAnsiTheme="minorEastAsia" w:hint="eastAsia"/>
          <w:kern w:val="0"/>
          <w:szCs w:val="21"/>
        </w:rPr>
        <w:t>）</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(3)</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国家统计局关于印发《统计上大中小微型企业划分办法 （2017）》的通知（国统字〔2017〕213 号）</w:t>
      </w:r>
    </w:p>
    <w:p>
      <w:pPr>
        <w:widowControl/>
        <w:snapToGrid w:val="0"/>
        <w:spacing w:line="360" w:lineRule="auto"/>
        <w:ind w:firstLine="555"/>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(4)</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财政部 民政部 中国残疾人联合会关于促进残疾人就业 政府采购政策的通知（财库〔2017〕141号）</w:t>
      </w:r>
    </w:p>
    <w:p>
      <w:pPr>
        <w:widowControl/>
        <w:snapToGrid w:val="0"/>
        <w:spacing w:line="360" w:lineRule="auto"/>
        <w:ind w:firstLine="555"/>
        <w:jc w:val="left"/>
        <w:rPr>
          <w:rFonts w:asciiTheme="minorEastAsia" w:eastAsiaTheme="minorEastAsia" w:hAnsiTheme="minorEastAsia"/>
          <w:szCs w:val="21"/>
        </w:rPr>
      </w:pPr>
      <w:r>
        <w:rPr>
          <w:rFonts w:asciiTheme="minorEastAsia" w:eastAsiaTheme="minorEastAsia" w:hAnsiTheme="minorEastAsia" w:hint="eastAsia"/>
          <w:kern w:val="0"/>
          <w:szCs w:val="21"/>
        </w:rPr>
        <w:t>(5)</w:t>
      </w:r>
      <w:r>
        <w:rPr>
          <w:rFonts w:asciiTheme="minorEastAsia" w:eastAsiaTheme="minorEastAsia" w:hAnsiTheme="minorEastAsia" w:hint="eastAsia"/>
          <w:szCs w:val="21"/>
        </w:rPr>
        <w:t xml:space="preserve"> </w:t>
      </w:r>
      <w:r>
        <w:rPr>
          <w:rFonts w:asciiTheme="minorEastAsia" w:eastAsiaTheme="minorEastAsia" w:hAnsiTheme="minorEastAsia" w:hint="eastAsia"/>
          <w:kern w:val="0"/>
          <w:szCs w:val="21"/>
        </w:rPr>
        <w:t>财政部 司法部关于政府采购支持监狱企业发展有关问题的通知（财库〔2014〕68号）</w:t>
      </w:r>
    </w:p>
    <w:p>
      <w:pPr>
        <w:widowControl/>
        <w:snapToGrid w:val="0"/>
        <w:spacing w:line="360" w:lineRule="auto"/>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3、请依照招标文件提供的格式和内容填写声明函，不要随意变更格式；声明函不需要盖章或签字；满足多项优惠政策的投标人，不重复享受多项价格扣除政策。</w:t>
      </w:r>
    </w:p>
    <w:p>
      <w:pPr>
        <w:widowControl/>
        <w:snapToGrid w:val="0"/>
        <w:spacing w:line="360" w:lineRule="auto"/>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 xml:space="preserve">    4、《中小企业声明函》填写要求：</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（1）在“单位名称”下划线处如实填写</w:t>
      </w:r>
      <w:r>
        <w:rPr>
          <w:rFonts w:asciiTheme="minorEastAsia" w:eastAsiaTheme="minorEastAsia" w:hAnsiTheme="minorEastAsia" w:hint="eastAsia"/>
          <w:b/>
          <w:color w:val="FF0000"/>
          <w:kern w:val="0"/>
          <w:szCs w:val="21"/>
        </w:rPr>
        <w:t>采购人名称（详见采购人信息，非采购代理机构）</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（2）在“项目名称”下划线处如实填写</w:t>
      </w:r>
      <w:r>
        <w:rPr>
          <w:rFonts w:asciiTheme="minorEastAsia" w:eastAsiaTheme="minorEastAsia" w:hAnsiTheme="minorEastAsia" w:hint="eastAsia"/>
          <w:b/>
          <w:color w:val="FF0000"/>
          <w:kern w:val="0"/>
          <w:szCs w:val="21"/>
        </w:rPr>
        <w:t>采购项目名称</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（3）在“标的名称”下划线处填写</w:t>
      </w:r>
      <w:r>
        <w:rPr>
          <w:rFonts w:asciiTheme="minorEastAsia" w:eastAsiaTheme="minorEastAsia" w:hAnsiTheme="minorEastAsia" w:hint="eastAsia"/>
          <w:b/>
          <w:color w:val="FF0000"/>
          <w:kern w:val="0"/>
          <w:szCs w:val="21"/>
        </w:rPr>
        <w:t>采购标的（货物或服务或工程）的具体名称</w:t>
      </w:r>
      <w:r>
        <w:rPr>
          <w:rFonts w:asciiTheme="minorEastAsia" w:eastAsiaTheme="minorEastAsia" w:hAnsiTheme="minorEastAsia" w:hint="eastAsia"/>
          <w:b/>
          <w:bCs/>
          <w:color w:val="FF0000"/>
          <w:kern w:val="0"/>
          <w:szCs w:val="21"/>
        </w:rPr>
        <w:t>（具体详见第二章招标项目需求，如涉及多项标的，投标人需逐项进行响应）</w:t>
      </w:r>
      <w:r>
        <w:rPr>
          <w:rFonts w:asciiTheme="minorEastAsia" w:eastAsiaTheme="minorEastAsia" w:hAnsiTheme="minorEastAsia" w:hint="eastAsia"/>
          <w:kern w:val="0"/>
          <w:szCs w:val="21"/>
        </w:rPr>
        <w:t>；</w:t>
      </w:r>
    </w:p>
    <w:p>
      <w:pPr>
        <w:widowControl/>
        <w:snapToGrid w:val="0"/>
        <w:spacing w:line="360" w:lineRule="auto"/>
        <w:ind w:firstLine="424" w:firstLineChars="202"/>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（4）在“</w:t>
      </w:r>
      <w:r>
        <w:rPr>
          <w:rFonts w:asciiTheme="minorEastAsia" w:eastAsiaTheme="minorEastAsia" w:hAnsiTheme="minorEastAsia"/>
          <w:szCs w:val="21"/>
        </w:rPr>
        <w:t>采购文件</w:t>
      </w:r>
      <w:r>
        <w:rPr>
          <w:rFonts w:asciiTheme="minorEastAsia" w:eastAsiaTheme="minorEastAsia" w:hAnsiTheme="minorEastAsia" w:hint="eastAsia"/>
          <w:kern w:val="0"/>
          <w:szCs w:val="21"/>
        </w:rPr>
        <w:t>中明确的所属行业”下划线处填写</w:t>
      </w:r>
      <w:r>
        <w:rPr>
          <w:rFonts w:asciiTheme="minorEastAsia" w:eastAsiaTheme="minorEastAsia" w:hAnsiTheme="minorEastAsia" w:hint="eastAsia"/>
          <w:b/>
          <w:color w:val="FF0000"/>
          <w:kern w:val="0"/>
          <w:szCs w:val="21"/>
        </w:rPr>
        <w:t>采购文件规定的本项目所属行业</w:t>
      </w:r>
      <w:r>
        <w:rPr>
          <w:rFonts w:asciiTheme="minorEastAsia" w:eastAsiaTheme="minorEastAsia" w:hAnsiTheme="minorEastAsia" w:hint="eastAsia"/>
          <w:b/>
          <w:bCs/>
          <w:color w:val="FF0000"/>
          <w:kern w:val="0"/>
          <w:szCs w:val="21"/>
        </w:rPr>
        <w:t>（详见其它关键信息）</w:t>
      </w:r>
      <w:r>
        <w:rPr>
          <w:rFonts w:asciiTheme="minorEastAsia" w:eastAsiaTheme="minorEastAsia" w:hAnsiTheme="minorEastAsia" w:hint="eastAsia"/>
          <w:kern w:val="0"/>
          <w:szCs w:val="21"/>
        </w:rPr>
        <w:t>；</w:t>
      </w:r>
    </w:p>
    <w:p>
      <w:pPr>
        <w:widowControl/>
        <w:snapToGrid w:val="0"/>
        <w:spacing w:line="360" w:lineRule="auto"/>
        <w:ind w:left="0" w:firstLine="420" w:leftChars="0" w:firstLineChars="200"/>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（5）在“从业人员”、“营业收入”、“资产总额”下划线处如实填写</w:t>
      </w:r>
      <w:r>
        <w:rPr>
          <w:rFonts w:asciiTheme="minorEastAsia" w:eastAsiaTheme="minorEastAsia" w:hAnsiTheme="minorEastAsia" w:hint="eastAsia"/>
          <w:b/>
          <w:color w:val="FF0000"/>
          <w:kern w:val="0"/>
          <w:szCs w:val="21"/>
        </w:rPr>
        <w:t>制造商（货物类）或承接企业（服务或工程类）</w:t>
      </w:r>
      <w:r>
        <w:rPr>
          <w:rFonts w:asciiTheme="minorEastAsia" w:eastAsiaTheme="minorEastAsia" w:hAnsiTheme="minorEastAsia" w:hint="eastAsia"/>
          <w:kern w:val="0"/>
          <w:szCs w:val="21"/>
        </w:rPr>
        <w:t>上一年度</w:t>
      </w:r>
      <w:r>
        <w:rPr>
          <w:rFonts w:asciiTheme="minorEastAsia" w:eastAsiaTheme="minorEastAsia" w:hAnsiTheme="minorEastAsia" w:hint="eastAsia"/>
          <w:kern w:val="0"/>
          <w:szCs w:val="21"/>
          <w:lang w:eastAsia="zh-CN"/>
        </w:rPr>
        <w:t>数据</w:t>
      </w:r>
      <w:r>
        <w:rPr>
          <w:rFonts w:asciiTheme="minorEastAsia" w:eastAsiaTheme="minorEastAsia" w:hAnsiTheme="minorEastAsia" w:hint="eastAsia"/>
          <w:kern w:val="0"/>
          <w:szCs w:val="21"/>
        </w:rPr>
        <w:t>，从业人员、资产总额指标以上年度末数据为依据</w:t>
      </w:r>
      <w:r>
        <w:rPr>
          <w:rFonts w:asciiTheme="minorEastAsia" w:eastAsiaTheme="minorEastAsia" w:hAnsiTheme="minorEastAsia" w:hint="eastAsia"/>
          <w:kern w:val="0"/>
          <w:szCs w:val="21"/>
          <w:lang w:eastAsia="zh-CN"/>
        </w:rPr>
        <w:t>，</w:t>
      </w:r>
      <w:r>
        <w:rPr>
          <w:rFonts w:asciiTheme="minorEastAsia" w:eastAsiaTheme="minorEastAsia" w:hAnsiTheme="minorEastAsia" w:hint="eastAsia"/>
          <w:kern w:val="0"/>
          <w:szCs w:val="21"/>
        </w:rPr>
        <w:t>营业收入指标以上年度累计数据为依据。无上年度数据的新成立企业可不填报。</w:t>
      </w:r>
      <w:r>
        <w:rPr>
          <w:rFonts w:asciiTheme="minorEastAsia" w:eastAsiaTheme="minorEastAsia" w:hAnsiTheme="minorEastAsia" w:hint="eastAsia"/>
          <w:kern w:val="0"/>
          <w:szCs w:val="21"/>
          <w:lang w:eastAsia="zh-CN"/>
        </w:rPr>
        <w:t>供应商应依据企业上年度从业人员、营业收入、资产总额等指标，按照《中小企业划型标准规定》（工信部联企业〔2011〕300 号）、《金融业企业划型标准规定》（银发〔2015〕309 号），判断《中小企业声明函》载明的货物制造商/服务承接商/工程承建商（根据项目属性确定）是否属于采购文件所属行业的中型企业/小型企业/微型企业</w:t>
      </w:r>
      <w:r>
        <w:rPr>
          <w:rFonts w:asciiTheme="minorEastAsia" w:eastAsiaTheme="minorEastAsia" w:hAnsiTheme="minorEastAsia" w:hint="eastAsia"/>
          <w:kern w:val="0"/>
          <w:szCs w:val="21"/>
        </w:rPr>
        <w:t>；</w:t>
      </w:r>
    </w:p>
    <w:p>
      <w:pPr>
        <w:widowControl/>
        <w:snapToGrid w:val="0"/>
        <w:spacing w:line="360" w:lineRule="auto"/>
        <w:ind w:left="0" w:firstLine="420" w:leftChars="0" w:firstLineChars="200"/>
        <w:jc w:val="left"/>
        <w:rPr>
          <w:rFonts w:ascii="宋体" w:hAnsi="宋体" w:eastAsiaTheme="minorEastAsia" w:cstheme="minorBidi" w:hint="eastAsia"/>
          <w:kern w:val="0"/>
          <w:szCs w:val="21"/>
        </w:rPr>
      </w:pPr>
      <w:r>
        <w:rPr>
          <w:rFonts w:asciiTheme="minorEastAsia" w:eastAsiaTheme="minorEastAsia" w:hAnsiTheme="minorEastAsia" w:hint="eastAsia"/>
          <w:kern w:val="0"/>
          <w:szCs w:val="21"/>
        </w:rPr>
        <w:t>（6）在“中型企业、小型企业、微型企业”下划线处如实填写相应的企业类型</w:t>
      </w:r>
      <w:r>
        <w:rPr>
          <w:rFonts w:ascii="宋体" w:hAnsi="宋体" w:eastAsiaTheme="minorEastAsia" w:cstheme="minorBidi" w:hint="eastAsia"/>
          <w:kern w:val="0"/>
          <w:szCs w:val="21"/>
        </w:rPr>
        <w:t>；</w:t>
      </w:r>
    </w:p>
    <w:p>
      <w:pPr>
        <w:widowControl/>
        <w:snapToGrid w:val="0"/>
        <w:spacing w:line="360" w:lineRule="auto"/>
        <w:ind w:left="0" w:firstLine="420" w:leftChars="0" w:firstLineChars="200"/>
        <w:jc w:val="left"/>
        <w:rPr>
          <w:rFonts w:asciiTheme="minorEastAsia" w:eastAsiaTheme="minorEastAsia" w:hAnsiTheme="minorEastAsia"/>
          <w:b/>
          <w:color w:val="FF0000"/>
          <w:kern w:val="0"/>
          <w:szCs w:val="21"/>
        </w:rPr>
      </w:pPr>
      <w:r>
        <w:rPr>
          <w:rFonts w:asciiTheme="minorEastAsia" w:eastAsiaTheme="minorEastAsia" w:hAnsiTheme="minorEastAsia" w:hint="eastAsia"/>
          <w:b/>
          <w:color w:val="FF0000"/>
          <w:kern w:val="0"/>
          <w:szCs w:val="21"/>
        </w:rPr>
        <w:t>（7）如为联合体</w:t>
      </w:r>
      <w:r>
        <w:rPr>
          <w:rFonts w:asciiTheme="minorEastAsia" w:eastAsiaTheme="minorEastAsia" w:hAnsiTheme="minorEastAsia" w:hint="eastAsia"/>
          <w:b/>
          <w:color w:val="FF0000"/>
          <w:kern w:val="0"/>
          <w:szCs w:val="21"/>
          <w:lang w:eastAsia="zh-CN"/>
        </w:rPr>
        <w:t>响应</w:t>
      </w:r>
      <w:r>
        <w:rPr>
          <w:rFonts w:asciiTheme="minorEastAsia" w:eastAsiaTheme="minorEastAsia" w:hAnsiTheme="minorEastAsia" w:hint="eastAsia"/>
          <w:b/>
          <w:color w:val="FF0000"/>
          <w:kern w:val="0"/>
          <w:szCs w:val="21"/>
        </w:rPr>
        <w:t>或以分包形式</w:t>
      </w:r>
      <w:r>
        <w:rPr>
          <w:rFonts w:asciiTheme="minorEastAsia" w:eastAsiaTheme="minorEastAsia" w:hAnsiTheme="minorEastAsia" w:hint="eastAsia"/>
          <w:b/>
          <w:color w:val="FF0000"/>
          <w:kern w:val="0"/>
          <w:szCs w:val="21"/>
          <w:lang w:eastAsia="zh-CN"/>
        </w:rPr>
        <w:t>响应</w:t>
      </w:r>
      <w:r>
        <w:rPr>
          <w:rFonts w:asciiTheme="minorEastAsia" w:eastAsiaTheme="minorEastAsia" w:hAnsiTheme="minorEastAsia" w:hint="eastAsia"/>
          <w:b/>
          <w:color w:val="FF0000"/>
          <w:kern w:val="0"/>
          <w:szCs w:val="21"/>
        </w:rPr>
        <w:t>的，需分别填写每家中小企业的企业名称、从业人员、营业收入、资产总额、企业类别（中型企业、小型企业、微型企业）等信息；</w:t>
      </w:r>
    </w:p>
    <w:p>
      <w:pPr>
        <w:widowControl/>
        <w:snapToGrid w:val="0"/>
        <w:spacing w:line="360" w:lineRule="auto"/>
        <w:ind w:left="0" w:firstLine="420" w:leftChars="0" w:firstLineChars="200"/>
        <w:jc w:val="left"/>
        <w:rPr>
          <w:rFonts w:asciiTheme="minorHAnsi" w:eastAsiaTheme="minorEastAsia" w:hAnsiTheme="minorHAnsi" w:cstheme="minorBidi" w:hint="eastAsia"/>
          <w:szCs w:val="22"/>
          <w:lang w:eastAsia="zh-CN"/>
        </w:rPr>
      </w:pPr>
      <w:r>
        <w:rPr>
          <w:rFonts w:asciiTheme="minorEastAsia" w:eastAsiaTheme="minorEastAsia" w:hAnsiTheme="minorEastAsia" w:hint="eastAsia"/>
          <w:b/>
          <w:color w:val="FF0000"/>
          <w:kern w:val="0"/>
          <w:szCs w:val="21"/>
        </w:rPr>
        <w:t>（8）</w:t>
      </w:r>
      <w:r>
        <w:rPr>
          <w:rFonts w:asciiTheme="minorHAnsi" w:eastAsiaTheme="minorEastAsia" w:hAnsiTheme="minorHAnsi" w:cstheme="minorBidi" w:hint="eastAsia"/>
          <w:b/>
          <w:color w:val="FF0000"/>
          <w:szCs w:val="22"/>
        </w:rPr>
        <w:t>《中小企业声明函》中制造商、承接/承建企业所属行业应当与</w:t>
      </w:r>
      <w:r>
        <w:rPr>
          <w:rFonts w:asciiTheme="minorHAnsi" w:eastAsiaTheme="minorEastAsia" w:hAnsiTheme="minorHAnsi" w:cstheme="minorBidi" w:hint="eastAsia"/>
          <w:b/>
          <w:color w:val="FF0000"/>
          <w:szCs w:val="22"/>
          <w:lang w:eastAsia="zh-CN"/>
        </w:rPr>
        <w:t>采购</w:t>
      </w:r>
      <w:r>
        <w:rPr>
          <w:rFonts w:asciiTheme="minorHAnsi" w:eastAsiaTheme="minorEastAsia" w:hAnsiTheme="minorHAnsi" w:cstheme="minorBidi" w:hint="eastAsia"/>
          <w:b/>
          <w:color w:val="FF0000"/>
          <w:szCs w:val="22"/>
        </w:rPr>
        <w:t>文件要求的行业相一致</w:t>
      </w:r>
      <w:r>
        <w:rPr>
          <w:rFonts w:asciiTheme="minorHAnsi" w:eastAsiaTheme="minorEastAsia" w:hAnsiTheme="minorHAnsi" w:cstheme="minorBidi" w:hint="eastAsia"/>
          <w:color w:val="FF0000"/>
          <w:szCs w:val="22"/>
          <w:lang w:eastAsia="zh-CN"/>
        </w:rPr>
        <w:t>。</w:t>
      </w:r>
      <w:r>
        <w:rPr>
          <w:rFonts w:asciiTheme="minorHAnsi" w:eastAsiaTheme="minorEastAsia" w:hAnsiTheme="minorHAnsi" w:cstheme="minorBidi" w:hint="eastAsia"/>
          <w:szCs w:val="22"/>
        </w:rPr>
        <w:t>供应商如有疑问，可根据《国民经济行业分类》（GB/T 4754-2017），结合《关于印发中小企业划型标准规定的通知》（工信部联企业〔2011〕300 号）进行判断。事业单位、社会组织等非企业主体不享受中小企业扶持政策，但事业单位、社会组织等非企业主体提供全部由中小企业制造的货物参加货物采购项目的除外</w:t>
      </w:r>
      <w:r>
        <w:rPr>
          <w:rFonts w:asciiTheme="minorHAnsi" w:eastAsiaTheme="minorEastAsia" w:hAnsiTheme="minorHAnsi" w:cstheme="minorBidi" w:hint="eastAsia"/>
          <w:szCs w:val="22"/>
          <w:lang w:eastAsia="zh-CN"/>
        </w:rPr>
        <w:t>；</w:t>
      </w:r>
    </w:p>
    <w:p>
      <w:pPr>
        <w:widowControl/>
        <w:snapToGrid w:val="0"/>
        <w:spacing w:line="360" w:lineRule="auto"/>
        <w:ind w:left="0" w:firstLine="420" w:leftChars="0" w:firstLineChars="200"/>
        <w:jc w:val="left"/>
        <w:rPr>
          <w:rFonts w:ascii="宋体" w:hAnsi="宋体" w:eastAsiaTheme="minorEastAsia" w:cstheme="minorBidi" w:hint="eastAsia"/>
          <w:kern w:val="0"/>
          <w:szCs w:val="21"/>
          <w:lang w:eastAsia="zh-CN"/>
        </w:rPr>
      </w:pPr>
      <w:r>
        <w:rPr>
          <w:rFonts w:ascii="宋体" w:hAnsi="宋体" w:eastAsiaTheme="minorEastAsia" w:cstheme="minorBidi" w:hint="eastAsia"/>
          <w:b/>
          <w:bCs/>
          <w:color w:val="FF0000"/>
          <w:kern w:val="0"/>
          <w:szCs w:val="21"/>
          <w:lang w:eastAsia="zh-CN"/>
        </w:rPr>
        <w:t>（</w:t>
      </w:r>
      <w:r>
        <w:rPr>
          <w:rFonts w:ascii="宋体" w:hAnsi="宋体" w:eastAsiaTheme="minorEastAsia" w:cstheme="minorBidi" w:hint="eastAsia"/>
          <w:b/>
          <w:bCs/>
          <w:color w:val="FF0000"/>
          <w:kern w:val="0"/>
          <w:szCs w:val="21"/>
          <w:lang w:val="en-US" w:eastAsia="zh-CN"/>
        </w:rPr>
        <w:t>9</w:t>
      </w:r>
      <w:r>
        <w:rPr>
          <w:rFonts w:ascii="宋体" w:hAnsi="宋体" w:eastAsiaTheme="minorEastAsia" w:cstheme="minorBidi" w:hint="eastAsia"/>
          <w:b/>
          <w:bCs/>
          <w:color w:val="FF0000"/>
          <w:kern w:val="0"/>
          <w:szCs w:val="21"/>
          <w:lang w:eastAsia="zh-CN"/>
        </w:rPr>
        <w:t>）声明函正文中“企业名称”应填写投标（响应）的货物制造商/服务承接商/工程承建商（根据项目属性确定）。</w:t>
      </w:r>
      <w:r>
        <w:rPr>
          <w:rFonts w:ascii="宋体" w:hAnsi="宋体" w:eastAsiaTheme="minorEastAsia" w:cstheme="minorBidi" w:hint="eastAsia"/>
          <w:kern w:val="0"/>
          <w:szCs w:val="21"/>
          <w:lang w:eastAsia="zh-CN"/>
        </w:rPr>
        <w:t>对于分包方式面向中小企业采购的项目，正文中“企业名称”应填写分包部分采购标的对应的货物制造商/服务承接商/工程承建商（根据项目属性确定）。对于以联合体方式面向中小企业采购的项目，正文中“企业名称”应填写联合体中中小企业承担采购标的对应的货物制造商/服务承接商/工程承建商（根据项目属性确定）</w:t>
      </w:r>
      <w:r>
        <w:rPr>
          <w:rFonts w:ascii="宋体" w:hAnsi="宋体" w:eastAsiaTheme="minorEastAsia" w:cstheme="minorBidi" w:hint="eastAsia"/>
          <w:b/>
          <w:bCs/>
          <w:color w:val="FF0000"/>
          <w:kern w:val="0"/>
          <w:szCs w:val="21"/>
          <w:lang w:eastAsia="zh-CN"/>
        </w:rPr>
        <w:t>【《中小企业声明函》由参加政府采购活动的供应商出具；“</w:t>
      </w:r>
      <w:r>
        <w:rPr>
          <w:rFonts w:ascii="宋体" w:hAnsi="宋体" w:hint="eastAsia"/>
          <w:b/>
          <w:bCs/>
          <w:color w:val="FF0000"/>
          <w:szCs w:val="21"/>
        </w:rPr>
        <w:t>企业名称</w:t>
      </w:r>
      <w:r>
        <w:rPr>
          <w:rFonts w:ascii="宋体" w:hAnsi="宋体"/>
          <w:b/>
          <w:bCs/>
          <w:color w:val="FF0000"/>
          <w:szCs w:val="21"/>
        </w:rPr>
        <w:t>(</w:t>
      </w:r>
      <w:r>
        <w:rPr>
          <w:rFonts w:ascii="宋体" w:hAnsi="宋体" w:hint="eastAsia"/>
          <w:b/>
          <w:bCs/>
          <w:color w:val="FF0000"/>
          <w:szCs w:val="21"/>
        </w:rPr>
        <w:t>公章</w:t>
      </w:r>
      <w:r>
        <w:rPr>
          <w:rFonts w:ascii="宋体" w:hAnsi="宋体"/>
          <w:b/>
          <w:bCs/>
          <w:color w:val="FF0000"/>
          <w:szCs w:val="21"/>
        </w:rPr>
        <w:t>)</w:t>
      </w:r>
      <w:r>
        <w:rPr>
          <w:rFonts w:ascii="宋体" w:hAnsi="宋体" w:eastAsiaTheme="minorEastAsia" w:cstheme="minorBidi" w:hint="eastAsia"/>
          <w:b/>
          <w:bCs/>
          <w:color w:val="FF0000"/>
          <w:kern w:val="0"/>
          <w:szCs w:val="21"/>
          <w:lang w:eastAsia="zh-CN"/>
        </w:rPr>
        <w:t>”填写投标（响应）供应商名称并加盖投标（响应）供应商公章】</w:t>
      </w:r>
      <w:r>
        <w:rPr>
          <w:rFonts w:ascii="宋体" w:hAnsi="宋体" w:eastAsiaTheme="minorEastAsia" w:cstheme="minorBidi" w:hint="eastAsia"/>
          <w:kern w:val="0"/>
          <w:szCs w:val="21"/>
          <w:lang w:eastAsia="zh-CN"/>
        </w:rPr>
        <w:t>；</w:t>
      </w:r>
    </w:p>
    <w:p>
      <w:pPr>
        <w:widowControl/>
        <w:snapToGrid w:val="0"/>
        <w:spacing w:line="360" w:lineRule="auto"/>
        <w:ind w:firstLine="424" w:firstLineChars="202"/>
        <w:jc w:val="left"/>
        <w:rPr>
          <w:lang w:val="en-US" w:eastAsia="zh-CN"/>
        </w:rPr>
      </w:pPr>
      <w:r>
        <w:rPr>
          <w:rFonts w:ascii="宋体" w:hAnsi="宋体" w:eastAsiaTheme="minorEastAsia" w:cstheme="minorBidi" w:hint="eastAsia"/>
          <w:kern w:val="0"/>
          <w:szCs w:val="21"/>
          <w:lang w:eastAsia="zh-CN"/>
        </w:rPr>
        <w:t>（</w:t>
      </w:r>
      <w:r>
        <w:rPr>
          <w:rFonts w:ascii="宋体" w:hAnsi="宋体" w:eastAsiaTheme="minorEastAsia" w:cstheme="minorBidi" w:hint="eastAsia"/>
          <w:kern w:val="0"/>
          <w:szCs w:val="21"/>
          <w:lang w:val="en-US" w:eastAsia="zh-CN"/>
        </w:rPr>
        <w:t>10</w:t>
      </w:r>
      <w:r>
        <w:rPr>
          <w:rFonts w:ascii="宋体" w:hAnsi="宋体" w:eastAsiaTheme="minorEastAsia" w:cstheme="minorBidi" w:hint="eastAsia"/>
          <w:kern w:val="0"/>
          <w:szCs w:val="21"/>
          <w:lang w:eastAsia="zh-CN"/>
        </w:rPr>
        <w:t>）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pPr>
        <w:jc w:val="center"/>
        <w:outlineLvl w:val="3"/>
        <w:rPr>
          <w:rFonts w:ascii="黑体" w:eastAsia="黑体" w:hAnsi="宋体"/>
          <w:bCs/>
          <w:kern w:val="0"/>
          <w:sz w:val="24"/>
          <w:szCs w:val="32"/>
        </w:rPr>
      </w:pPr>
    </w:p>
    <w:p>
      <w:pPr>
        <w:spacing w:after="60"/>
        <w:jc w:val="center"/>
        <w:outlineLvl w:val="3"/>
        <w:rPr>
          <w:b/>
          <w:sz w:val="24"/>
        </w:rPr>
      </w:pPr>
      <w:r>
        <w:rPr>
          <w:rFonts w:hint="eastAsia"/>
          <w:b/>
          <w:sz w:val="24"/>
        </w:rPr>
        <w:t>1、中小企业声明函</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b w:val="0"/>
          <w:sz w:val="21"/>
          <w:szCs w:val="21"/>
        </w:rPr>
        <w:t>本公司（联合体）郑重声明，根据《政府采购促进中小企业发展管理办法》（财库</w:t>
      </w:r>
      <w:r>
        <w:rPr>
          <w:rFonts w:asciiTheme="minorEastAsia" w:eastAsiaTheme="minorEastAsia" w:hAnsiTheme="minorEastAsia" w:hint="eastAsia"/>
          <w:b w:val="0"/>
          <w:sz w:val="21"/>
          <w:szCs w:val="21"/>
        </w:rPr>
        <w:t>﹝</w:t>
      </w:r>
      <w:r>
        <w:rPr>
          <w:rFonts w:asciiTheme="minorEastAsia" w:eastAsiaTheme="minorEastAsia" w:hAnsiTheme="minorEastAsia"/>
          <w:b w:val="0"/>
          <w:sz w:val="21"/>
          <w:szCs w:val="21"/>
        </w:rPr>
        <w:t>2020</w:t>
      </w:r>
      <w:r>
        <w:rPr>
          <w:rFonts w:asciiTheme="minorEastAsia" w:eastAsiaTheme="minorEastAsia" w:hAnsiTheme="minorEastAsia" w:hint="eastAsia"/>
          <w:b w:val="0"/>
          <w:sz w:val="21"/>
          <w:szCs w:val="21"/>
        </w:rPr>
        <w:t>﹞</w:t>
      </w:r>
      <w:r>
        <w:rPr>
          <w:rFonts w:asciiTheme="minorEastAsia" w:eastAsiaTheme="minorEastAsia" w:hAnsiTheme="minorEastAsia"/>
          <w:b w:val="0"/>
          <w:sz w:val="21"/>
          <w:szCs w:val="21"/>
        </w:rPr>
        <w:t>46 号）的规定，本公司（联合体）参加</w:t>
      </w:r>
      <w:r>
        <w:rPr>
          <w:rFonts w:asciiTheme="minorEastAsia" w:eastAsiaTheme="minorEastAsia" w:hAnsiTheme="minorEastAsia"/>
          <w:b w:val="0"/>
          <w:sz w:val="21"/>
          <w:szCs w:val="21"/>
          <w:u w:val="single"/>
        </w:rPr>
        <w:t>（单位名称</w:t>
      </w:r>
      <w:r>
        <w:rPr>
          <w:rFonts w:asciiTheme="minorEastAsia" w:eastAsiaTheme="minorEastAsia" w:hAnsiTheme="minorEastAsia" w:hint="eastAsia"/>
          <w:b w:val="0"/>
          <w:sz w:val="21"/>
          <w:szCs w:val="21"/>
          <w:u w:val="single"/>
          <w:lang w:eastAsia="zh-CN"/>
        </w:rPr>
        <w:t>：深圳市生态环境局宝安管理局</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的</w:t>
      </w:r>
      <w:r>
        <w:rPr>
          <w:rFonts w:asciiTheme="minorEastAsia" w:eastAsiaTheme="minorEastAsia" w:hAnsiTheme="minorEastAsia"/>
          <w:b w:val="0"/>
          <w:sz w:val="21"/>
          <w:szCs w:val="21"/>
          <w:u w:val="single"/>
        </w:rPr>
        <w:t>（项目名称</w:t>
      </w:r>
      <w:r>
        <w:rPr>
          <w:rFonts w:asciiTheme="minorEastAsia" w:eastAsiaTheme="minorEastAsia" w:hAnsiTheme="minorEastAsia" w:hint="eastAsia"/>
          <w:b w:val="0"/>
          <w:sz w:val="21"/>
          <w:szCs w:val="21"/>
          <w:u w:val="single"/>
          <w:lang w:eastAsia="zh-CN"/>
        </w:rPr>
        <w:t>：宝安区重点区域大气网格化监测分析及精细化管控服务项目</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采购活动，</w:t>
      </w:r>
      <w:r>
        <w:rPr>
          <w:rFonts w:asciiTheme="minorEastAsia" w:eastAsiaTheme="minorEastAsia" w:hAnsiTheme="minorEastAsia" w:hint="eastAsia"/>
          <w:b w:val="0"/>
          <w:sz w:val="21"/>
          <w:szCs w:val="21"/>
        </w:rPr>
        <w:t>服务全部由符合政策要求的中小企业承接</w:t>
      </w:r>
      <w:r>
        <w:rPr>
          <w:rFonts w:asciiTheme="minorEastAsia" w:eastAsiaTheme="minorEastAsia" w:hAnsiTheme="minorEastAsia"/>
          <w:b w:val="0"/>
          <w:sz w:val="21"/>
          <w:szCs w:val="21"/>
        </w:rPr>
        <w:t>。相关企业（含联合体中的中小企业、签订分包意向协议的中小企业）的具体情况如下：</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hint="eastAsia"/>
          <w:b w:val="0"/>
          <w:sz w:val="21"/>
          <w:szCs w:val="21"/>
        </w:rPr>
        <w:t xml:space="preserve">1. </w:t>
      </w:r>
      <w:r>
        <w:rPr>
          <w:rFonts w:asciiTheme="minorEastAsia" w:eastAsiaTheme="minorEastAsia" w:hAnsiTheme="minorEastAsia"/>
          <w:b w:val="0"/>
          <w:sz w:val="21"/>
          <w:szCs w:val="21"/>
          <w:u w:val="single"/>
        </w:rPr>
        <w:t>（标的名称</w:t>
      </w:r>
      <w:r>
        <w:rPr>
          <w:rFonts w:asciiTheme="minorEastAsia" w:eastAsiaTheme="minorEastAsia" w:hAnsiTheme="minorEastAsia" w:hint="eastAsia"/>
          <w:b w:val="0"/>
          <w:sz w:val="21"/>
          <w:szCs w:val="21"/>
          <w:u w:val="single"/>
          <w:lang w:eastAsia="zh-CN"/>
        </w:rPr>
        <w:t>：宝安区重点区域大气网格化监测分析及精细化管控服务项目</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，属于</w:t>
      </w:r>
      <w:r>
        <w:rPr>
          <w:rFonts w:asciiTheme="minorEastAsia" w:eastAsiaTheme="minorEastAsia" w:hAnsiTheme="minorEastAsia"/>
          <w:b w:val="0"/>
          <w:sz w:val="21"/>
          <w:szCs w:val="21"/>
          <w:u w:val="single"/>
        </w:rPr>
        <w:t>（采购文件中明确的所属行业</w:t>
      </w:r>
      <w:r>
        <w:rPr>
          <w:rFonts w:asciiTheme="minorEastAsia" w:eastAsiaTheme="minorEastAsia" w:hAnsiTheme="minorEastAsia" w:hint="eastAsia"/>
          <w:b w:val="0"/>
          <w:sz w:val="21"/>
          <w:szCs w:val="21"/>
          <w:u w:val="single"/>
          <w:lang w:eastAsia="zh-CN"/>
        </w:rPr>
        <w:t>：其他未列明行业</w:t>
      </w:r>
      <w:r>
        <w:rPr>
          <w:rFonts w:asciiTheme="minorEastAsia" w:eastAsiaTheme="minorEastAsia" w:hAnsiTheme="minorEastAsia"/>
          <w:b w:val="0"/>
          <w:sz w:val="21"/>
          <w:szCs w:val="21"/>
          <w:u w:val="single"/>
        </w:rPr>
        <w:t>）</w:t>
      </w:r>
      <w:r>
        <w:rPr>
          <w:rFonts w:asciiTheme="minorEastAsia" w:eastAsiaTheme="minorEastAsia" w:hAnsiTheme="minorEastAsia"/>
          <w:b w:val="0"/>
          <w:sz w:val="21"/>
          <w:szCs w:val="21"/>
        </w:rPr>
        <w:t>；承接企业为</w:t>
      </w:r>
      <w:r>
        <w:rPr>
          <w:rFonts w:asciiTheme="minorEastAsia" w:eastAsiaTheme="minorEastAsia" w:hAnsiTheme="minorEastAsia"/>
          <w:b w:val="0"/>
          <w:sz w:val="21"/>
          <w:szCs w:val="21"/>
          <w:u w:val="single"/>
        </w:rPr>
        <w:t>（企业名称）</w:t>
      </w:r>
      <w:r>
        <w:rPr>
          <w:rFonts w:asciiTheme="minorEastAsia" w:eastAsiaTheme="minorEastAsia" w:hAnsiTheme="minorEastAsia"/>
          <w:b w:val="0"/>
          <w:sz w:val="21"/>
          <w:szCs w:val="21"/>
        </w:rPr>
        <w:t>，从业人员</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b w:val="0"/>
          <w:sz w:val="21"/>
          <w:szCs w:val="21"/>
        </w:rPr>
        <w:t>人，营业收入为</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万元，资产总额为</w:t>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万元，属于</w:t>
      </w:r>
      <w:r>
        <w:rPr>
          <w:rFonts w:asciiTheme="minorEastAsia" w:eastAsiaTheme="minorEastAsia" w:hAnsiTheme="minorEastAsia"/>
          <w:b w:val="0"/>
          <w:sz w:val="21"/>
          <w:szCs w:val="21"/>
          <w:u w:val="single"/>
        </w:rPr>
        <w:t>（中型企业、小型企业、微型企业）</w:t>
      </w:r>
      <w:r>
        <w:rPr>
          <w:rFonts w:asciiTheme="minorEastAsia" w:eastAsiaTheme="minorEastAsia" w:hAnsiTheme="minorEastAsia"/>
          <w:b w:val="0"/>
          <w:sz w:val="21"/>
          <w:szCs w:val="21"/>
        </w:rPr>
        <w:t>；</w:t>
      </w:r>
    </w:p>
    <w:p>
      <w:pPr>
        <w:pStyle w:val="BodyText"/>
        <w:spacing w:line="360" w:lineRule="exact"/>
        <w:ind w:firstLine="412"/>
        <w:rPr>
          <w:rFonts w:asciiTheme="minorEastAsia" w:eastAsiaTheme="minorEastAsia" w:hAnsiTheme="minorEastAsia"/>
          <w:b w:val="0"/>
          <w:sz w:val="21"/>
          <w:szCs w:val="21"/>
        </w:rPr>
      </w:pPr>
      <w:r>
        <w:rPr>
          <w:rFonts w:asciiTheme="minorEastAsia" w:eastAsiaTheme="minorEastAsia" w:hAnsiTheme="minorEastAsia" w:hint="eastAsia"/>
          <w:b w:val="0"/>
          <w:sz w:val="21"/>
          <w:szCs w:val="21"/>
        </w:rPr>
        <w:t xml:space="preserve">2. </w:t>
      </w:r>
      <w:r>
        <w:rPr>
          <w:rFonts w:asciiTheme="minorEastAsia" w:eastAsiaTheme="minorEastAsia" w:hAnsiTheme="minorEastAsia"/>
          <w:b w:val="0"/>
          <w:sz w:val="21"/>
          <w:szCs w:val="21"/>
          <w:u w:val="single"/>
        </w:rPr>
        <w:t>（标的名称）</w:t>
      </w:r>
      <w:r>
        <w:rPr>
          <w:rFonts w:asciiTheme="minorEastAsia" w:eastAsiaTheme="minorEastAsia" w:hAnsiTheme="minorEastAsia"/>
          <w:b w:val="0"/>
          <w:sz w:val="21"/>
          <w:szCs w:val="21"/>
        </w:rPr>
        <w:t>，属于</w:t>
      </w:r>
      <w:r>
        <w:rPr>
          <w:rFonts w:asciiTheme="minorEastAsia" w:eastAsiaTheme="minorEastAsia" w:hAnsiTheme="minorEastAsia"/>
          <w:b w:val="0"/>
          <w:sz w:val="21"/>
          <w:szCs w:val="21"/>
          <w:u w:val="single"/>
        </w:rPr>
        <w:t>（采购文件中明确的所属行业）</w:t>
      </w:r>
      <w:r>
        <w:rPr>
          <w:rFonts w:asciiTheme="minorEastAsia" w:eastAsiaTheme="minorEastAsia" w:hAnsiTheme="minorEastAsia"/>
          <w:b w:val="0"/>
          <w:sz w:val="21"/>
          <w:szCs w:val="21"/>
        </w:rPr>
        <w:t>；承接企业为</w:t>
      </w:r>
      <w:r>
        <w:rPr>
          <w:rFonts w:asciiTheme="minorEastAsia" w:eastAsiaTheme="minorEastAsia" w:hAnsiTheme="minorEastAsia"/>
          <w:b w:val="0"/>
          <w:sz w:val="21"/>
          <w:szCs w:val="21"/>
          <w:u w:val="single"/>
        </w:rPr>
        <w:t>（企业名称）</w:t>
      </w:r>
      <w:r>
        <w:rPr>
          <w:rFonts w:asciiTheme="minorEastAsia" w:eastAsiaTheme="minorEastAsia" w:hAnsiTheme="minorEastAsia"/>
          <w:b w:val="0"/>
          <w:sz w:val="21"/>
          <w:szCs w:val="21"/>
        </w:rPr>
        <w:t>，从业人员</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b w:val="0"/>
          <w:sz w:val="21"/>
          <w:szCs w:val="21"/>
        </w:rPr>
        <w:t>人，营业收入为</w:t>
      </w:r>
      <w:r>
        <w:rPr>
          <w:rFonts w:asciiTheme="minorEastAsia" w:eastAsiaTheme="minorEastAsia" w:hAnsiTheme="minorEastAsia"/>
          <w:b w:val="0"/>
          <w:sz w:val="21"/>
          <w:szCs w:val="21"/>
          <w:u w:val="single"/>
        </w:rPr>
        <w:t xml:space="preserve"> </w:t>
      </w:r>
      <w:r>
        <w:rPr>
          <w:rFonts w:asciiTheme="minorEastAsia" w:eastAsiaTheme="minorEastAsia" w:hAnsiTheme="minorEastAsia"/>
          <w:b w:val="0"/>
          <w:sz w:val="21"/>
          <w:szCs w:val="21"/>
          <w:u w:val="single"/>
        </w:rPr>
        <w:tab/>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万元，资产总额为</w:t>
      </w:r>
      <w:r>
        <w:rPr>
          <w:rFonts w:asciiTheme="minorEastAsia" w:eastAsiaTheme="minorEastAsia" w:hAnsiTheme="minorEastAsia" w:hint="eastAsia"/>
          <w:b w:val="0"/>
          <w:sz w:val="21"/>
          <w:szCs w:val="21"/>
          <w:u w:val="single"/>
        </w:rPr>
        <w:t xml:space="preserve">     </w:t>
      </w:r>
      <w:r>
        <w:rPr>
          <w:rFonts w:asciiTheme="minorEastAsia" w:eastAsiaTheme="minorEastAsia" w:hAnsiTheme="minorEastAsia"/>
          <w:b w:val="0"/>
          <w:sz w:val="21"/>
          <w:szCs w:val="21"/>
        </w:rPr>
        <w:t>万元，属于</w:t>
      </w:r>
      <w:r>
        <w:rPr>
          <w:rFonts w:asciiTheme="minorEastAsia" w:eastAsiaTheme="minorEastAsia" w:hAnsiTheme="minorEastAsia"/>
          <w:b w:val="0"/>
          <w:sz w:val="21"/>
          <w:szCs w:val="21"/>
          <w:u w:val="single"/>
        </w:rPr>
        <w:t>（中型企业、小型企业、微型企业）</w:t>
      </w:r>
      <w:r>
        <w:rPr>
          <w:rFonts w:asciiTheme="minorEastAsia" w:eastAsiaTheme="minorEastAsia" w:hAnsiTheme="minorEastAsia"/>
          <w:b w:val="0"/>
          <w:sz w:val="21"/>
          <w:szCs w:val="21"/>
        </w:rPr>
        <w:t>；</w:t>
      </w:r>
    </w:p>
    <w:p>
      <w:pPr>
        <w:pStyle w:val="BodyText"/>
        <w:spacing w:before="11" w:line="360" w:lineRule="exact"/>
        <w:ind w:firstLine="424" w:firstLineChars="202"/>
        <w:rPr>
          <w:rFonts w:asciiTheme="minorEastAsia" w:eastAsiaTheme="minorEastAsia" w:hAnsiTheme="minorEastAsia"/>
          <w:b w:val="0"/>
          <w:sz w:val="21"/>
          <w:szCs w:val="21"/>
        </w:rPr>
      </w:pPr>
      <w:r>
        <w:rPr>
          <w:rFonts w:asciiTheme="minorEastAsia" w:eastAsiaTheme="minorEastAsia" w:hAnsiTheme="minorEastAsia"/>
          <w:b w:val="0"/>
          <w:sz w:val="21"/>
          <w:szCs w:val="21"/>
        </w:rPr>
        <w:t>……</w:t>
      </w:r>
    </w:p>
    <w:p>
      <w:pPr>
        <w:pStyle w:val="BodyText"/>
        <w:spacing w:before="108" w:line="360" w:lineRule="exact"/>
        <w:ind w:firstLine="408"/>
        <w:rPr>
          <w:rFonts w:asciiTheme="minorEastAsia" w:eastAsiaTheme="minorEastAsia" w:hAnsiTheme="minorEastAsia"/>
          <w:b w:val="0"/>
          <w:sz w:val="21"/>
          <w:szCs w:val="21"/>
        </w:rPr>
      </w:pPr>
      <w:r>
        <w:rPr>
          <w:rFonts w:asciiTheme="minorEastAsia" w:eastAsiaTheme="minorEastAsia" w:hAnsiTheme="minorEastAsia"/>
          <w:b w:val="0"/>
          <w:sz w:val="21"/>
          <w:szCs w:val="21"/>
        </w:rPr>
        <w:t>以上企业，不属于大企业的分支机构，不存在控股股东为大企业的情形，也不存在与大企业的负责人为同一人的情形。</w:t>
      </w:r>
    </w:p>
    <w:p>
      <w:pPr>
        <w:spacing w:line="360" w:lineRule="exact"/>
        <w:ind w:firstLine="420" w:firstLineChars="200"/>
        <w:rPr>
          <w:rFonts w:asciiTheme="minorEastAsia" w:eastAsiaTheme="minorEastAsia" w:hAnsiTheme="minorEastAsia"/>
          <w:szCs w:val="21"/>
        </w:rPr>
      </w:pPr>
      <w:r>
        <w:rPr>
          <w:rFonts w:asciiTheme="minorEastAsia" w:eastAsiaTheme="minorEastAsia" w:hAnsiTheme="minorEastAsia"/>
          <w:szCs w:val="21"/>
        </w:rPr>
        <w:t>本企业对上述声明内容的真实性负责。如有虚假，将依法承担相应责任</w:t>
      </w:r>
      <w:r>
        <w:rPr>
          <w:rFonts w:asciiTheme="minorEastAsia" w:eastAsiaTheme="minorEastAsia" w:hAnsiTheme="minorEastAsia" w:hint="eastAsia"/>
          <w:szCs w:val="21"/>
        </w:rPr>
        <w:t>。</w:t>
      </w:r>
    </w:p>
    <w:p>
      <w:pPr>
        <w:spacing w:line="360" w:lineRule="exact"/>
        <w:ind w:firstLine="420" w:firstLineChars="200"/>
        <w:rPr>
          <w:rFonts w:asciiTheme="minorEastAsia" w:eastAsiaTheme="minorEastAsia" w:hAnsiTheme="minorEastAsia"/>
          <w:szCs w:val="21"/>
        </w:rPr>
      </w:pPr>
      <w:r>
        <w:rPr>
          <w:rFonts w:asciiTheme="minorEastAsia" w:eastAsiaTheme="minorEastAsia" w:hAnsiTheme="minorEastAsia" w:hint="eastAsia"/>
          <w:szCs w:val="21"/>
        </w:rPr>
        <w:t>本企业已知悉《政府采购促进中小企业发展管理办法》（财库〔2020〕46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号）第二十条规定，供应商按照本办法规定提供声明函内容不实的，属于提供虚假材料谋取中标、成交，依照《政府采购法》等政府采购有关法律法规规定追究相应责任。</w:t>
      </w:r>
    </w:p>
    <w:p>
      <w:pPr>
        <w:spacing w:line="360" w:lineRule="exact"/>
        <w:ind w:firstLine="420" w:firstLineChars="200"/>
        <w:rPr>
          <w:rFonts w:asciiTheme="minorEastAsia" w:eastAsiaTheme="minorEastAsia" w:hAnsiTheme="minorEastAsia"/>
          <w:szCs w:val="21"/>
        </w:rPr>
      </w:pPr>
    </w:p>
    <w:p>
      <w:pPr>
        <w:spacing w:line="360" w:lineRule="exact"/>
        <w:jc w:val="center"/>
        <w:rPr>
          <w:rFonts w:ascii="Times New Roman" w:hAnsi="Times New Roman"/>
          <w:szCs w:val="24"/>
        </w:rPr>
      </w:pPr>
      <w:r>
        <w:rPr>
          <w:rFonts w:ascii="Times New Roman" w:hAnsi="Times New Roman" w:hint="eastAsia"/>
          <w:szCs w:val="21"/>
        </w:rPr>
        <w:t xml:space="preserve">                           企业名称：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420" w:firstLineChars="200"/>
        <w:rPr>
          <w:rFonts w:ascii="宋体" w:hAnsi="宋体"/>
          <w:szCs w:val="21"/>
        </w:rPr>
      </w:pPr>
      <w:r>
        <w:rPr>
          <w:rFonts w:ascii="宋体" w:hAnsi="宋体" w:hint="eastAsia"/>
          <w:szCs w:val="21"/>
        </w:rPr>
        <w:t>备注：</w:t>
      </w:r>
    </w:p>
    <w:p>
      <w:pPr>
        <w:spacing w:line="360" w:lineRule="exact"/>
        <w:ind w:firstLine="420" w:firstLineChars="200"/>
        <w:rPr>
          <w:rFonts w:ascii="宋体" w:hAnsi="宋体"/>
          <w:szCs w:val="21"/>
        </w:rPr>
      </w:pPr>
      <w:r>
        <w:rPr>
          <w:rFonts w:ascii="宋体" w:hAnsi="宋体" w:hint="eastAsia"/>
          <w:szCs w:val="21"/>
        </w:rPr>
        <w:t>1、填写前请认真阅读《工业和信息化部、国家统计局、国家发展和改革委员会、财政部关于印发中小企业划型标准规定的通知》</w:t>
      </w:r>
      <w:r>
        <w:rPr>
          <w:rFonts w:ascii="宋体" w:hAnsi="宋体"/>
          <w:szCs w:val="21"/>
        </w:rPr>
        <w:t>(</w:t>
      </w:r>
      <w:r>
        <w:rPr>
          <w:rFonts w:ascii="宋体" w:hAnsi="宋体" w:hint="eastAsia"/>
          <w:szCs w:val="21"/>
        </w:rPr>
        <w:t>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w:t>
      </w:r>
      <w:r>
        <w:rPr>
          <w:rFonts w:ascii="宋体" w:hAnsi="宋体"/>
          <w:szCs w:val="21"/>
        </w:rPr>
        <w:t>)</w:t>
      </w:r>
      <w:r>
        <w:rPr>
          <w:rFonts w:ascii="宋体" w:hAnsi="宋体" w:hint="eastAsia"/>
          <w:szCs w:val="21"/>
        </w:rPr>
        <w:t>和《财政部 工业和信息化部关于印发《政府采购促进中小企业发展管理办法》的通知》</w:t>
      </w:r>
      <w:r>
        <w:rPr>
          <w:rFonts w:ascii="宋体" w:hAnsi="宋体"/>
          <w:szCs w:val="21"/>
        </w:rPr>
        <w:t>(</w:t>
      </w:r>
      <w:r>
        <w:rPr>
          <w:rFonts w:ascii="宋体" w:hAnsi="宋体" w:hint="eastAsia"/>
          <w:szCs w:val="21"/>
        </w:rPr>
        <w:t>财库〔2020〕46号</w:t>
      </w:r>
      <w:r>
        <w:rPr>
          <w:rFonts w:ascii="宋体" w:hAnsi="宋体"/>
          <w:szCs w:val="21"/>
        </w:rPr>
        <w:t>)</w:t>
      </w:r>
      <w:r>
        <w:rPr>
          <w:rFonts w:ascii="宋体" w:hAnsi="宋体" w:hint="eastAsia"/>
          <w:szCs w:val="21"/>
        </w:rPr>
        <w:t>相关规定。</w:t>
      </w:r>
    </w:p>
    <w:p>
      <w:pPr>
        <w:spacing w:line="360" w:lineRule="exact"/>
        <w:ind w:firstLine="424" w:firstLineChars="202"/>
        <w:rPr>
          <w:rFonts w:ascii="宋体" w:hAnsi="宋体"/>
          <w:szCs w:val="21"/>
        </w:rPr>
      </w:pPr>
      <w:r>
        <w:rPr>
          <w:rFonts w:ascii="宋体" w:hAnsi="宋体" w:hint="eastAsia"/>
          <w:szCs w:val="21"/>
        </w:rPr>
        <w:t>2、从业人员、营业收入、资产总额填报上一年度数据，无上一年度数据的新成立企业可不填报。</w:t>
      </w:r>
    </w:p>
    <w:p>
      <w:pPr>
        <w:spacing w:line="360" w:lineRule="exact"/>
        <w:ind w:firstLine="424" w:firstLineChars="202"/>
        <w:rPr>
          <w:rFonts w:asciiTheme="minorEastAsia" w:eastAsiaTheme="minorEastAsia" w:hAnsiTheme="minorEastAsia" w:cstheme="minorBidi"/>
        </w:rPr>
      </w:pPr>
      <w:r>
        <w:rPr>
          <w:rFonts w:asciiTheme="minorEastAsia" w:eastAsiaTheme="minorEastAsia" w:hAnsiTheme="minorEastAsia" w:cstheme="minorBidi" w:hint="eastAsia"/>
        </w:rPr>
        <w:t>3、中小企业参加政府采购活动，应当按照国务院批准的《中小企业划型标准规定》（工信部联企业〔2011〕300 号）、《金融业企业划型标准规定》（银发〔2015〕309 号）和《财政部工业和信息化部关于印发〈政府采购促进中小企业发展管理办法〉的通知》（财库〔2020〕46 号）的规定，出具《中小企业声明函》，</w:t>
      </w:r>
      <w:r>
        <w:rPr>
          <w:rFonts w:asciiTheme="minorEastAsia" w:eastAsiaTheme="minorEastAsia" w:hAnsiTheme="minorEastAsia" w:cstheme="minorBidi" w:hint="eastAsia"/>
          <w:b/>
        </w:rPr>
        <w:t>《中小企业声明函》中相关企业所属行业应当与采购标的所属行业相一致</w:t>
      </w:r>
      <w:r>
        <w:rPr>
          <w:rFonts w:asciiTheme="minorEastAsia" w:eastAsiaTheme="minorEastAsia" w:hAnsiTheme="minorEastAsia" w:cstheme="minorBidi" w:hint="eastAsia"/>
        </w:rPr>
        <w:t>。</w:t>
      </w:r>
    </w:p>
    <w:p>
      <w:pPr>
        <w:spacing w:line="360" w:lineRule="exact"/>
        <w:ind w:firstLine="424" w:firstLineChars="202"/>
        <w:rPr>
          <w:rFonts w:asciiTheme="minorHAnsi" w:eastAsiaTheme="minorEastAsia" w:hAnsiTheme="minorHAnsi" w:cstheme="minorBidi"/>
        </w:rPr>
      </w:pPr>
      <w:r>
        <w:rPr>
          <w:rFonts w:asciiTheme="minorHAnsi" w:eastAsiaTheme="minorEastAsia" w:hAnsiTheme="minorHAnsi" w:cstheme="minorBidi" w:hint="eastAsia"/>
        </w:rPr>
        <w:t>4、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spacing w:line="360" w:lineRule="exact"/>
        <w:ind w:firstLine="420" w:firstLineChars="200"/>
        <w:rPr>
          <w:rFonts w:ascii="宋体" w:hAnsi="宋体"/>
          <w:szCs w:val="21"/>
        </w:rPr>
      </w:pPr>
    </w:p>
    <w:p>
      <w:pPr>
        <w:spacing w:after="60" w:line="360" w:lineRule="exact"/>
        <w:jc w:val="center"/>
        <w:outlineLvl w:val="3"/>
        <w:rPr>
          <w:b/>
          <w:sz w:val="24"/>
        </w:rPr>
      </w:pPr>
      <w:r>
        <w:rPr>
          <w:rFonts w:hint="eastAsia"/>
          <w:b/>
          <w:sz w:val="24"/>
        </w:rPr>
        <w:t>2、监狱企业声明函</w:t>
      </w:r>
    </w:p>
    <w:p>
      <w:pPr>
        <w:spacing w:after="60" w:line="360" w:lineRule="exact"/>
        <w:ind w:firstLine="420" w:firstLineChars="200"/>
        <w:rPr>
          <w:rFonts w:ascii="宋体" w:hAnsi="宋体"/>
          <w:szCs w:val="21"/>
        </w:rPr>
      </w:pPr>
      <w:r>
        <w:rPr>
          <w:rFonts w:ascii="宋体" w:hAnsi="宋体" w:hint="eastAsia"/>
          <w:szCs w:val="21"/>
        </w:rPr>
        <w:t>本单位郑重声明，根据《关于政府采购支持监狱企业发展有关问题的通知》（财库〔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号）的规定，本单位为符合条件的监狱企业。</w:t>
      </w:r>
    </w:p>
    <w:p>
      <w:pPr>
        <w:spacing w:after="60" w:line="360" w:lineRule="exact"/>
        <w:ind w:firstLine="420" w:firstLineChars="200"/>
        <w:rPr>
          <w:rFonts w:ascii="宋体" w:hAnsi="宋体"/>
          <w:szCs w:val="21"/>
        </w:rPr>
      </w:pPr>
      <w:r>
        <w:rPr>
          <w:rFonts w:ascii="宋体" w:hAnsi="宋体" w:hint="eastAsia"/>
          <w:szCs w:val="21"/>
        </w:rPr>
        <w:t>本单位对上述声明的真实性负责。如有虚假，将依法承担相应责任。</w:t>
      </w:r>
    </w:p>
    <w:p>
      <w:pPr>
        <w:spacing w:line="360" w:lineRule="exact"/>
        <w:jc w:val="center"/>
      </w:pPr>
      <w:r>
        <w:rPr>
          <w:rFonts w:hint="eastAsia"/>
          <w:szCs w:val="21"/>
        </w:rPr>
        <w:t xml:space="preserve">                             单位名称：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645"/>
        <w:rPr>
          <w:rFonts w:ascii="宋体"/>
          <w:b/>
          <w:szCs w:val="21"/>
        </w:rPr>
      </w:pPr>
      <w:r>
        <w:rPr>
          <w:rFonts w:ascii="宋体" w:hAnsi="宋体" w:hint="eastAsia"/>
          <w:szCs w:val="21"/>
        </w:rPr>
        <w:t xml:space="preserve">                                    </w:t>
      </w:r>
    </w:p>
    <w:p>
      <w:pPr>
        <w:spacing w:after="60" w:line="360" w:lineRule="exact"/>
        <w:ind w:firstLine="420" w:firstLineChars="200"/>
        <w:rPr>
          <w:rFonts w:ascii="宋体" w:hAnsi="宋体"/>
          <w:b/>
          <w:szCs w:val="21"/>
        </w:rPr>
      </w:pPr>
      <w:r>
        <w:rPr>
          <w:rFonts w:ascii="宋体" w:hAnsi="宋体" w:hint="eastAsia"/>
          <w:b/>
          <w:szCs w:val="21"/>
        </w:rPr>
        <w:t>附：省级以上监狱管理局、戒毒管理局（含新疆生产建设兵团）出具的监狱企业证明文件。</w:t>
      </w:r>
    </w:p>
    <w:p>
      <w:pPr>
        <w:ind w:left="723" w:hanging="630" w:hangingChars="300"/>
        <w:rPr>
          <w:b/>
          <w:sz w:val="24"/>
        </w:rPr>
      </w:pPr>
    </w:p>
    <w:p>
      <w:pPr>
        <w:spacing w:line="360" w:lineRule="exact"/>
        <w:ind w:firstLine="424" w:firstLineChars="202"/>
        <w:rPr>
          <w:rFonts w:ascii="宋体" w:hAnsi="宋体"/>
          <w:szCs w:val="21"/>
        </w:rPr>
      </w:pPr>
      <w:r>
        <w:rPr>
          <w:rFonts w:ascii="宋体" w:hAnsi="宋体" w:hint="eastAsia"/>
          <w:szCs w:val="21"/>
        </w:rPr>
        <w:t>备注：填写前请认真阅读《财政部 司法部关于政府采购支持监狱企业发展有关问题的通知》（财库〔</w:t>
      </w:r>
      <w:r>
        <w:rPr>
          <w:rFonts w:ascii="宋体" w:hAnsi="宋体"/>
          <w:szCs w:val="21"/>
        </w:rPr>
        <w:t>2014</w:t>
      </w:r>
      <w:r>
        <w:rPr>
          <w:rFonts w:ascii="宋体" w:hAnsi="宋体" w:hint="eastAsia"/>
          <w:szCs w:val="21"/>
        </w:rPr>
        <w:t>〕</w:t>
      </w:r>
      <w:r>
        <w:rPr>
          <w:rFonts w:ascii="宋体" w:hAnsi="宋体"/>
          <w:szCs w:val="21"/>
        </w:rPr>
        <w:t>68</w:t>
      </w:r>
      <w:r>
        <w:rPr>
          <w:rFonts w:ascii="宋体" w:hAnsi="宋体" w:hint="eastAsia"/>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政府采购政策扶持，不进行价格扣除。</w:t>
      </w:r>
    </w:p>
    <w:p>
      <w:pPr>
        <w:spacing w:after="60" w:line="360" w:lineRule="exact"/>
        <w:ind w:firstLine="420" w:firstLineChars="200"/>
        <w:rPr>
          <w:rFonts w:ascii="宋体" w:hAnsi="宋体"/>
          <w:szCs w:val="21"/>
        </w:rPr>
      </w:pPr>
      <w:r>
        <w:rPr>
          <w:rFonts w:ascii="宋体" w:hAnsi="宋体" w:hint="eastAsia"/>
          <w:szCs w:val="21"/>
        </w:rPr>
        <w:t xml:space="preserve">                                     </w:t>
      </w:r>
    </w:p>
    <w:p>
      <w:pPr>
        <w:spacing w:after="60" w:line="360" w:lineRule="exact"/>
        <w:jc w:val="center"/>
        <w:outlineLvl w:val="3"/>
        <w:rPr>
          <w:b/>
          <w:bCs/>
        </w:rPr>
      </w:pPr>
      <w:r>
        <w:rPr>
          <w:rFonts w:hint="eastAsia"/>
          <w:b/>
          <w:sz w:val="24"/>
        </w:rPr>
        <w:t>3、残疾人福利性单位声明函</w:t>
      </w:r>
    </w:p>
    <w:p>
      <w:pPr>
        <w:spacing w:line="360" w:lineRule="exact"/>
        <w:ind w:firstLine="420" w:firstLineChars="200"/>
        <w:jc w:val="left"/>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w:t>
      </w:r>
      <w:r>
        <w:rPr>
          <w:rFonts w:ascii="宋体" w:hAnsi="宋体" w:hint="eastAsia"/>
          <w:szCs w:val="21"/>
          <w:u w:val="single"/>
        </w:rPr>
        <w:t xml:space="preserve">    </w:t>
      </w:r>
      <w:r>
        <w:rPr>
          <w:rFonts w:ascii="宋体" w:hAnsi="宋体" w:hint="eastAsia"/>
          <w:szCs w:val="21"/>
        </w:rPr>
        <w:t>单位的</w:t>
      </w:r>
      <w:r>
        <w:rPr>
          <w:rFonts w:ascii="宋体" w:hAnsi="宋体" w:hint="eastAsia"/>
          <w:szCs w:val="21"/>
          <w:u w:val="single"/>
        </w:rPr>
        <w:t xml:space="preserve">            </w:t>
      </w:r>
      <w:r>
        <w:rPr>
          <w:rFonts w:ascii="宋体" w:hAnsi="宋体" w:hint="eastAsia"/>
          <w:szCs w:val="21"/>
        </w:rPr>
        <w:t>项目采购活动，由本单位提供服务。</w:t>
      </w:r>
    </w:p>
    <w:p>
      <w:pPr>
        <w:spacing w:after="60" w:line="360" w:lineRule="exact"/>
        <w:ind w:firstLine="420" w:firstLineChars="200"/>
        <w:rPr>
          <w:rFonts w:ascii="宋体" w:hAnsi="宋体"/>
          <w:szCs w:val="21"/>
        </w:rPr>
      </w:pPr>
      <w:r>
        <w:rPr>
          <w:rFonts w:ascii="宋体" w:hAnsi="宋体" w:hint="eastAsia"/>
          <w:szCs w:val="21"/>
        </w:rPr>
        <w:t>本单位对上述声明的真实性负责。如有虚假，将依法承担相应责任。</w:t>
      </w:r>
    </w:p>
    <w:p>
      <w:pPr>
        <w:spacing w:after="60" w:line="360" w:lineRule="exact"/>
        <w:ind w:firstLine="420" w:firstLineChars="200"/>
        <w:rPr>
          <w:rFonts w:ascii="宋体" w:hAnsi="宋体"/>
          <w:szCs w:val="21"/>
        </w:rPr>
      </w:pPr>
      <w:r>
        <w:rPr>
          <w:rFonts w:ascii="宋体" w:hAnsi="宋体" w:hint="eastAsia"/>
          <w:szCs w:val="21"/>
        </w:rPr>
        <w:t>本单位知悉《关于促进残疾人就业政府采购政策的通知》（财库〔2017〕141 号）的规定，承诺提供的声明函内容是真实的，如提供声明函内容不实，则依法追究相关法律责任。</w:t>
      </w:r>
    </w:p>
    <w:p>
      <w:pPr>
        <w:spacing w:line="360" w:lineRule="exact"/>
        <w:jc w:val="center"/>
      </w:pPr>
      <w:r>
        <w:rPr>
          <w:rFonts w:hint="eastAsia"/>
          <w:szCs w:val="21"/>
        </w:rPr>
        <w:t xml:space="preserve">                             单位名称：</w:t>
      </w:r>
    </w:p>
    <w:p>
      <w:pPr>
        <w:spacing w:line="360" w:lineRule="exact"/>
        <w:rPr>
          <w:rFonts w:ascii="宋体" w:hAnsi="宋体"/>
          <w:szCs w:val="21"/>
        </w:rPr>
      </w:pP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pPr>
        <w:spacing w:line="360" w:lineRule="exact"/>
        <w:ind w:firstLine="424" w:firstLineChars="202"/>
        <w:rPr>
          <w:rFonts w:ascii="宋体" w:hAnsi="宋体"/>
          <w:szCs w:val="21"/>
        </w:rPr>
      </w:pPr>
      <w:r>
        <w:rPr>
          <w:rFonts w:ascii="宋体" w:hAnsi="宋体" w:hint="eastAsia"/>
          <w:szCs w:val="21"/>
        </w:rPr>
        <w:t>备注：填写前请认真阅读《财政部 民政部 中国残疾人联合会关于促进残疾人就业政府采购政策的通知》</w:t>
      </w:r>
      <w:r>
        <w:rPr>
          <w:rFonts w:ascii="宋体" w:hAnsi="宋体"/>
          <w:szCs w:val="21"/>
        </w:rPr>
        <w:t>(</w:t>
      </w:r>
      <w:r>
        <w:rPr>
          <w:rFonts w:ascii="宋体" w:hAnsi="宋体" w:hint="eastAsia"/>
          <w:szCs w:val="21"/>
        </w:rPr>
        <w:t>财库〔2017〕141号</w:t>
      </w:r>
      <w:r>
        <w:rPr>
          <w:rFonts w:ascii="宋体" w:hAnsi="宋体"/>
          <w:szCs w:val="21"/>
        </w:rPr>
        <w:t>)</w:t>
      </w:r>
      <w:r>
        <w:rPr>
          <w:rFonts w:ascii="宋体" w:hAnsi="宋体" w:hint="eastAsia"/>
          <w:szCs w:val="21"/>
        </w:rPr>
        <w:t>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政府采购政策扶持，不进行价格扣除。</w:t>
      </w:r>
    </w:p>
    <w:p>
      <w:pPr>
        <w:keepNext/>
        <w:keepLines/>
        <w:tabs>
          <w:tab w:val="left" w:pos="0"/>
        </w:tabs>
        <w:spacing w:before="280" w:after="290" w:line="376" w:lineRule="auto"/>
        <w:jc w:val="center"/>
        <w:outlineLvl w:val="3"/>
        <w:rPr>
          <w:rFonts w:ascii="宋体" w:hAnsi="宋体"/>
          <w:b/>
          <w:bCs/>
          <w:sz w:val="28"/>
          <w:szCs w:val="28"/>
        </w:rPr>
      </w:pPr>
      <w:r>
        <w:rPr>
          <w:rFonts w:ascii="宋体" w:hAnsi="宋体" w:hint="eastAsia"/>
          <w:b/>
          <w:bCs/>
          <w:sz w:val="28"/>
          <w:szCs w:val="28"/>
        </w:rPr>
        <w:t>列入政府优先采购清单的投标产品一览表</w:t>
      </w:r>
    </w:p>
    <w:tbl>
      <w:tblPr>
        <w:tblStyle w:val="TableNormal"/>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40"/>
        <w:gridCol w:w="1213"/>
        <w:gridCol w:w="1840"/>
        <w:gridCol w:w="818"/>
        <w:gridCol w:w="1241"/>
        <w:gridCol w:w="2292"/>
        <w:gridCol w:w="1503"/>
        <w:gridCol w:w="720"/>
      </w:tblGrid>
      <w:tr>
        <w:tblPrEx>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44"/>
          <w:jc w:val="center"/>
        </w:trPr>
        <w:tc>
          <w:tcPr>
            <w:tcW w:w="540" w:type="dxa"/>
            <w:vMerge w:val="restart"/>
            <w:vAlign w:val="center"/>
          </w:tcPr>
          <w:p>
            <w:pPr>
              <w:jc w:val="center"/>
              <w:rPr>
                <w:rFonts w:ascii="Times New Roman" w:hAnsi="Times New Roman"/>
                <w:b/>
                <w:szCs w:val="21"/>
              </w:rPr>
            </w:pPr>
            <w:r>
              <w:rPr>
                <w:rFonts w:ascii="Times New Roman" w:hAnsi="Times New Roman" w:hint="eastAsia"/>
                <w:b/>
                <w:szCs w:val="21"/>
              </w:rPr>
              <w:t>序号</w:t>
            </w:r>
          </w:p>
        </w:tc>
        <w:tc>
          <w:tcPr>
            <w:tcW w:w="1213" w:type="dxa"/>
            <w:vMerge w:val="restart"/>
            <w:vAlign w:val="center"/>
          </w:tcPr>
          <w:p>
            <w:pPr>
              <w:jc w:val="center"/>
              <w:rPr>
                <w:rFonts w:ascii="Times New Roman" w:hAnsi="Times New Roman"/>
                <w:b/>
                <w:szCs w:val="21"/>
              </w:rPr>
            </w:pPr>
            <w:r>
              <w:rPr>
                <w:rFonts w:ascii="Times New Roman" w:hAnsi="Times New Roman" w:hint="eastAsia"/>
                <w:b/>
                <w:szCs w:val="21"/>
              </w:rPr>
              <w:t>投标产品名称</w:t>
            </w:r>
          </w:p>
        </w:tc>
        <w:tc>
          <w:tcPr>
            <w:tcW w:w="1840" w:type="dxa"/>
            <w:vMerge w:val="restart"/>
            <w:vAlign w:val="center"/>
          </w:tcPr>
          <w:p>
            <w:pPr>
              <w:jc w:val="center"/>
              <w:rPr>
                <w:rFonts w:ascii="Times New Roman" w:hAnsi="Times New Roman"/>
                <w:b/>
                <w:szCs w:val="21"/>
              </w:rPr>
            </w:pPr>
            <w:r>
              <w:rPr>
                <w:rFonts w:ascii="Times New Roman" w:hAnsi="Times New Roman" w:hint="eastAsia"/>
                <w:b/>
                <w:szCs w:val="21"/>
              </w:rPr>
              <w:t>规格及型号</w:t>
            </w:r>
          </w:p>
        </w:tc>
        <w:tc>
          <w:tcPr>
            <w:tcW w:w="4351" w:type="dxa"/>
            <w:gridSpan w:val="3"/>
            <w:vAlign w:val="center"/>
          </w:tcPr>
          <w:p>
            <w:pPr>
              <w:jc w:val="center"/>
              <w:rPr>
                <w:rFonts w:ascii="Times New Roman" w:hAnsi="Times New Roman"/>
                <w:b/>
                <w:szCs w:val="21"/>
              </w:rPr>
            </w:pPr>
            <w:r>
              <w:rPr>
                <w:rFonts w:ascii="Times New Roman" w:hAnsi="Times New Roman" w:hint="eastAsia"/>
                <w:b/>
                <w:szCs w:val="21"/>
              </w:rPr>
              <w:t>投标产品报价</w:t>
            </w:r>
          </w:p>
        </w:tc>
        <w:tc>
          <w:tcPr>
            <w:tcW w:w="1503" w:type="dxa"/>
            <w:vMerge w:val="restart"/>
            <w:vAlign w:val="center"/>
          </w:tcPr>
          <w:p>
            <w:pPr>
              <w:jc w:val="center"/>
              <w:rPr>
                <w:rFonts w:ascii="Times New Roman" w:hAnsi="Times New Roman"/>
                <w:b/>
                <w:szCs w:val="21"/>
              </w:rPr>
            </w:pPr>
            <w:r>
              <w:rPr>
                <w:rFonts w:ascii="Times New Roman" w:hAnsi="Times New Roman" w:hint="eastAsia"/>
                <w:b/>
                <w:szCs w:val="21"/>
              </w:rPr>
              <w:t>属于优先采购清单的类别</w:t>
            </w:r>
          </w:p>
        </w:tc>
        <w:tc>
          <w:tcPr>
            <w:tcW w:w="720" w:type="dxa"/>
            <w:vMerge w:val="restart"/>
            <w:vAlign w:val="center"/>
          </w:tcPr>
          <w:p>
            <w:pPr>
              <w:jc w:val="center"/>
              <w:rPr>
                <w:rFonts w:ascii="Times New Roman" w:hAnsi="Times New Roman"/>
                <w:b/>
                <w:szCs w:val="21"/>
              </w:rPr>
            </w:pPr>
            <w:r>
              <w:rPr>
                <w:rFonts w:ascii="Times New Roman" w:hAnsi="Times New Roman" w:hint="eastAsia"/>
                <w:b/>
                <w:szCs w:val="21"/>
              </w:rPr>
              <w:t>备注</w:t>
            </w:r>
          </w:p>
        </w:tc>
      </w:tr>
      <w:tr>
        <w:tblPrEx>
          <w:tblW w:w="10167" w:type="dxa"/>
          <w:jc w:val="center"/>
          <w:tblLayout w:type="fixed"/>
          <w:tblCellMar>
            <w:top w:w="0" w:type="dxa"/>
            <w:left w:w="108" w:type="dxa"/>
            <w:bottom w:w="0" w:type="dxa"/>
            <w:right w:w="108" w:type="dxa"/>
          </w:tblCellMar>
        </w:tblPrEx>
        <w:trPr>
          <w:jc w:val="center"/>
        </w:trPr>
        <w:tc>
          <w:tcPr>
            <w:tcW w:w="540" w:type="dxa"/>
            <w:vMerge/>
            <w:vAlign w:val="center"/>
          </w:tcPr>
          <w:p>
            <w:pPr>
              <w:rPr>
                <w:rFonts w:ascii="Times New Roman" w:hAnsi="Times New Roman"/>
                <w:szCs w:val="21"/>
              </w:rPr>
            </w:pPr>
          </w:p>
        </w:tc>
        <w:tc>
          <w:tcPr>
            <w:tcW w:w="1213" w:type="dxa"/>
            <w:vMerge/>
            <w:vAlign w:val="center"/>
          </w:tcPr>
          <w:p>
            <w:pPr>
              <w:rPr>
                <w:rFonts w:ascii="Times New Roman" w:hAnsi="Times New Roman"/>
                <w:szCs w:val="21"/>
              </w:rPr>
            </w:pPr>
          </w:p>
        </w:tc>
        <w:tc>
          <w:tcPr>
            <w:tcW w:w="1840" w:type="dxa"/>
            <w:vMerge/>
            <w:vAlign w:val="center"/>
          </w:tcPr>
          <w:p>
            <w:pPr>
              <w:rPr>
                <w:rFonts w:ascii="Times New Roman" w:hAnsi="Times New Roman"/>
                <w:szCs w:val="21"/>
              </w:rPr>
            </w:pPr>
          </w:p>
        </w:tc>
        <w:tc>
          <w:tcPr>
            <w:tcW w:w="818" w:type="dxa"/>
            <w:vAlign w:val="center"/>
          </w:tcPr>
          <w:p>
            <w:pPr>
              <w:rPr>
                <w:rFonts w:ascii="Times New Roman" w:hAnsi="Times New Roman"/>
                <w:szCs w:val="21"/>
              </w:rPr>
            </w:pPr>
            <w:r>
              <w:rPr>
                <w:rFonts w:ascii="Times New Roman" w:hAnsi="Times New Roman" w:hint="eastAsia"/>
                <w:szCs w:val="21"/>
              </w:rPr>
              <w:t>数量</w:t>
            </w:r>
          </w:p>
        </w:tc>
        <w:tc>
          <w:tcPr>
            <w:tcW w:w="1241" w:type="dxa"/>
            <w:vAlign w:val="center"/>
          </w:tcPr>
          <w:p>
            <w:pPr>
              <w:jc w:val="center"/>
              <w:rPr>
                <w:rFonts w:ascii="Times New Roman" w:hAnsi="Times New Roman"/>
                <w:szCs w:val="21"/>
              </w:rPr>
            </w:pPr>
            <w:r>
              <w:rPr>
                <w:rFonts w:ascii="Times New Roman" w:hAnsi="Times New Roman" w:hint="eastAsia"/>
                <w:szCs w:val="21"/>
              </w:rPr>
              <w:t>投标单价（元）</w:t>
            </w:r>
          </w:p>
        </w:tc>
        <w:tc>
          <w:tcPr>
            <w:tcW w:w="2292" w:type="dxa"/>
            <w:vAlign w:val="center"/>
          </w:tcPr>
          <w:p>
            <w:pPr>
              <w:jc w:val="center"/>
              <w:rPr>
                <w:rFonts w:ascii="Times New Roman" w:hAnsi="Times New Roman"/>
                <w:szCs w:val="21"/>
              </w:rPr>
            </w:pPr>
            <w:r>
              <w:rPr>
                <w:rFonts w:ascii="Times New Roman" w:hAnsi="Times New Roman" w:hint="eastAsia"/>
                <w:szCs w:val="21"/>
              </w:rPr>
              <w:t>投标</w:t>
            </w:r>
            <w:r>
              <w:rPr>
                <w:rFonts w:ascii="宋体" w:hAnsi="宋体" w:hint="eastAsia"/>
                <w:szCs w:val="21"/>
              </w:rPr>
              <w:t>合计</w:t>
            </w:r>
            <w:r>
              <w:rPr>
                <w:rFonts w:ascii="Times New Roman" w:hAnsi="Times New Roman" w:hint="eastAsia"/>
                <w:szCs w:val="21"/>
              </w:rPr>
              <w:t>报价（元）</w:t>
            </w:r>
          </w:p>
        </w:tc>
        <w:tc>
          <w:tcPr>
            <w:tcW w:w="1503" w:type="dxa"/>
            <w:vMerge/>
            <w:vAlign w:val="center"/>
          </w:tcPr>
          <w:p>
            <w:pPr>
              <w:rPr>
                <w:rFonts w:ascii="Times New Roman" w:hAnsi="Times New Roman"/>
                <w:szCs w:val="21"/>
              </w:rPr>
            </w:pPr>
          </w:p>
        </w:tc>
        <w:tc>
          <w:tcPr>
            <w:tcW w:w="720" w:type="dxa"/>
            <w:vMerge/>
            <w:vAlign w:val="center"/>
          </w:tcPr>
          <w:p>
            <w:pPr>
              <w:rPr>
                <w:rFonts w:ascii="Times New Roman" w:hAnsi="Times New Roman"/>
                <w:szCs w:val="21"/>
              </w:rPr>
            </w:pPr>
          </w:p>
        </w:tc>
      </w:tr>
      <w:tr>
        <w:tblPrEx>
          <w:tblW w:w="10167" w:type="dxa"/>
          <w:jc w:val="center"/>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Cs w:val="21"/>
              </w:rPr>
            </w:pPr>
            <w:r>
              <w:rPr>
                <w:rFonts w:ascii="宋体" w:hAnsi="宋体" w:hint="eastAsia"/>
                <w:szCs w:val="21"/>
              </w:rPr>
              <w:t>1</w:t>
            </w:r>
          </w:p>
        </w:tc>
        <w:tc>
          <w:tcPr>
            <w:tcW w:w="1213" w:type="dxa"/>
            <w:vAlign w:val="center"/>
          </w:tcPr>
          <w:p>
            <w:pPr>
              <w:jc w:val="center"/>
              <w:rPr>
                <w:rFonts w:ascii="Times New Roman" w:hAnsi="Times New Roman"/>
                <w:szCs w:val="21"/>
              </w:rPr>
            </w:pPr>
          </w:p>
        </w:tc>
        <w:tc>
          <w:tcPr>
            <w:tcW w:w="1840" w:type="dxa"/>
            <w:vAlign w:val="center"/>
          </w:tcPr>
          <w:p>
            <w:pPr>
              <w:jc w:val="center"/>
              <w:rPr>
                <w:rFonts w:ascii="Times New Roman" w:hAnsi="Times New Roman"/>
                <w:szCs w:val="21"/>
              </w:rPr>
            </w:pPr>
          </w:p>
        </w:tc>
        <w:tc>
          <w:tcPr>
            <w:tcW w:w="818" w:type="dxa"/>
            <w:vAlign w:val="center"/>
          </w:tcPr>
          <w:p>
            <w:pPr>
              <w:jc w:val="center"/>
              <w:rPr>
                <w:rFonts w:ascii="Times New Roman" w:hAnsi="Times New Roman"/>
                <w:szCs w:val="21"/>
              </w:rPr>
            </w:pPr>
          </w:p>
        </w:tc>
        <w:tc>
          <w:tcPr>
            <w:tcW w:w="1241" w:type="dxa"/>
            <w:vAlign w:val="center"/>
          </w:tcPr>
          <w:p>
            <w:pPr>
              <w:jc w:val="center"/>
              <w:rPr>
                <w:rFonts w:ascii="Times New Roman" w:hAnsi="Times New Roman"/>
                <w:szCs w:val="21"/>
              </w:rPr>
            </w:pPr>
          </w:p>
        </w:tc>
        <w:tc>
          <w:tcPr>
            <w:tcW w:w="2292" w:type="dxa"/>
            <w:vAlign w:val="center"/>
          </w:tcPr>
          <w:p>
            <w:pPr>
              <w:jc w:val="center"/>
              <w:rPr>
                <w:rFonts w:ascii="Times New Roman" w:hAnsi="Times New Roman"/>
                <w:szCs w:val="21"/>
              </w:rPr>
            </w:pPr>
          </w:p>
        </w:tc>
        <w:tc>
          <w:tcPr>
            <w:tcW w:w="1503" w:type="dxa"/>
            <w:vAlign w:val="center"/>
          </w:tcPr>
          <w:p>
            <w:pPr>
              <w:jc w:val="center"/>
              <w:rPr>
                <w:rFonts w:ascii="Times New Roman" w:hAnsi="Times New Roman"/>
                <w:szCs w:val="21"/>
              </w:rPr>
            </w:pPr>
          </w:p>
        </w:tc>
        <w:tc>
          <w:tcPr>
            <w:tcW w:w="720" w:type="dxa"/>
            <w:vAlign w:val="center"/>
          </w:tcPr>
          <w:p>
            <w:pPr>
              <w:jc w:val="center"/>
              <w:rPr>
                <w:rFonts w:ascii="Times New Roman" w:hAnsi="Times New Roman"/>
                <w:szCs w:val="21"/>
              </w:rPr>
            </w:pPr>
          </w:p>
        </w:tc>
      </w:tr>
      <w:tr>
        <w:tblPrEx>
          <w:tblW w:w="10167" w:type="dxa"/>
          <w:jc w:val="center"/>
          <w:tblLayout w:type="fixed"/>
          <w:tblCellMar>
            <w:top w:w="0" w:type="dxa"/>
            <w:left w:w="108" w:type="dxa"/>
            <w:bottom w:w="0" w:type="dxa"/>
            <w:right w:w="108" w:type="dxa"/>
          </w:tblCellMar>
        </w:tblPrEx>
        <w:trPr>
          <w:jc w:val="center"/>
        </w:trPr>
        <w:tc>
          <w:tcPr>
            <w:tcW w:w="540" w:type="dxa"/>
            <w:vAlign w:val="center"/>
          </w:tcPr>
          <w:p>
            <w:pPr>
              <w:jc w:val="center"/>
              <w:rPr>
                <w:rFonts w:ascii="宋体" w:hAnsi="宋体"/>
                <w:szCs w:val="21"/>
              </w:rPr>
            </w:pPr>
            <w:r>
              <w:rPr>
                <w:rFonts w:ascii="宋体" w:hAnsi="宋体" w:hint="eastAsia"/>
                <w:szCs w:val="21"/>
              </w:rPr>
              <w:t>2</w:t>
            </w:r>
          </w:p>
        </w:tc>
        <w:tc>
          <w:tcPr>
            <w:tcW w:w="1213" w:type="dxa"/>
            <w:vAlign w:val="center"/>
          </w:tcPr>
          <w:p>
            <w:pPr>
              <w:jc w:val="center"/>
              <w:rPr>
                <w:rFonts w:ascii="Times New Roman" w:hAnsi="Times New Roman"/>
                <w:szCs w:val="21"/>
              </w:rPr>
            </w:pPr>
          </w:p>
        </w:tc>
        <w:tc>
          <w:tcPr>
            <w:tcW w:w="1840" w:type="dxa"/>
            <w:vAlign w:val="center"/>
          </w:tcPr>
          <w:p>
            <w:pPr>
              <w:jc w:val="center"/>
              <w:rPr>
                <w:rFonts w:ascii="Times New Roman" w:hAnsi="Times New Roman"/>
                <w:szCs w:val="21"/>
              </w:rPr>
            </w:pPr>
          </w:p>
        </w:tc>
        <w:tc>
          <w:tcPr>
            <w:tcW w:w="818" w:type="dxa"/>
            <w:vAlign w:val="center"/>
          </w:tcPr>
          <w:p>
            <w:pPr>
              <w:jc w:val="center"/>
              <w:rPr>
                <w:rFonts w:ascii="Times New Roman" w:hAnsi="Times New Roman"/>
                <w:szCs w:val="21"/>
              </w:rPr>
            </w:pPr>
          </w:p>
        </w:tc>
        <w:tc>
          <w:tcPr>
            <w:tcW w:w="1241" w:type="dxa"/>
            <w:vAlign w:val="center"/>
          </w:tcPr>
          <w:p>
            <w:pPr>
              <w:jc w:val="center"/>
              <w:rPr>
                <w:rFonts w:ascii="Times New Roman" w:hAnsi="Times New Roman"/>
                <w:szCs w:val="21"/>
              </w:rPr>
            </w:pPr>
          </w:p>
        </w:tc>
        <w:tc>
          <w:tcPr>
            <w:tcW w:w="2292" w:type="dxa"/>
            <w:vAlign w:val="center"/>
          </w:tcPr>
          <w:p>
            <w:pPr>
              <w:jc w:val="center"/>
              <w:rPr>
                <w:rFonts w:ascii="Times New Roman" w:hAnsi="Times New Roman"/>
                <w:szCs w:val="21"/>
              </w:rPr>
            </w:pPr>
          </w:p>
        </w:tc>
        <w:tc>
          <w:tcPr>
            <w:tcW w:w="1503" w:type="dxa"/>
            <w:vAlign w:val="center"/>
          </w:tcPr>
          <w:p>
            <w:pPr>
              <w:jc w:val="center"/>
              <w:rPr>
                <w:rFonts w:ascii="Times New Roman" w:hAnsi="Times New Roman"/>
                <w:szCs w:val="21"/>
              </w:rPr>
            </w:pPr>
          </w:p>
        </w:tc>
        <w:tc>
          <w:tcPr>
            <w:tcW w:w="720" w:type="dxa"/>
            <w:vAlign w:val="center"/>
          </w:tcPr>
          <w:p>
            <w:pPr>
              <w:jc w:val="center"/>
              <w:rPr>
                <w:rFonts w:ascii="Times New Roman" w:hAnsi="Times New Roman"/>
                <w:szCs w:val="21"/>
              </w:rPr>
            </w:pPr>
          </w:p>
        </w:tc>
      </w:tr>
    </w:tbl>
    <w:p>
      <w:pPr>
        <w:spacing w:line="360" w:lineRule="auto"/>
        <w:rPr>
          <w:rFonts w:ascii="Times New Roman" w:hAnsi="Times New Roman"/>
          <w:szCs w:val="21"/>
        </w:rPr>
      </w:pPr>
      <w:r>
        <w:rPr>
          <w:rFonts w:ascii="Times New Roman" w:hAnsi="Times New Roman" w:hint="eastAsia"/>
          <w:szCs w:val="21"/>
        </w:rPr>
        <w:t>注</w:t>
      </w:r>
      <w:r>
        <w:rPr>
          <w:rFonts w:ascii="宋体" w:hAnsi="宋体" w:hint="eastAsia"/>
          <w:szCs w:val="21"/>
        </w:rPr>
        <w:t xml:space="preserve">：1. </w:t>
      </w:r>
      <w:r>
        <w:rPr>
          <w:rFonts w:ascii="宋体" w:hAnsi="宋体" w:hint="eastAsia"/>
          <w:b/>
          <w:szCs w:val="21"/>
        </w:rPr>
        <w:t>对</w:t>
      </w:r>
      <w:r>
        <w:rPr>
          <w:rFonts w:ascii="宋体" w:hAnsi="宋体"/>
          <w:b/>
          <w:szCs w:val="21"/>
        </w:rPr>
        <w:t>属于</w:t>
      </w:r>
      <w:r>
        <w:rPr>
          <w:rFonts w:ascii="宋体" w:hAnsi="宋体" w:hint="eastAsia"/>
          <w:b/>
          <w:szCs w:val="21"/>
        </w:rPr>
        <w:t>《关于调整优化节能产品环境标志产品政府采购执行机制的通知》（财库〔2019〕9号）、《关于印发环境标志产品政府采购品目清单的通知》（财库〔2019〕18号）和《关于印发节能产品政府采购品目清单的通知》（财库〔2019〕19号）</w:t>
      </w:r>
      <w:r>
        <w:rPr>
          <w:rFonts w:ascii="宋体" w:hAnsi="宋体"/>
          <w:b/>
          <w:szCs w:val="21"/>
        </w:rPr>
        <w:t>品目清单范围</w:t>
      </w:r>
      <w:r>
        <w:rPr>
          <w:rFonts w:ascii="宋体" w:hAnsi="宋体" w:hint="eastAsia"/>
          <w:b/>
          <w:szCs w:val="21"/>
        </w:rPr>
        <w:t>内</w:t>
      </w:r>
      <w:r>
        <w:rPr>
          <w:rFonts w:ascii="宋体" w:hAnsi="宋体"/>
          <w:b/>
          <w:szCs w:val="21"/>
        </w:rPr>
        <w:t>的</w:t>
      </w:r>
      <w:r>
        <w:rPr>
          <w:rFonts w:ascii="宋体" w:hAnsi="宋体" w:hint="eastAsia"/>
          <w:b/>
          <w:szCs w:val="21"/>
        </w:rPr>
        <w:t>投标产品，投标人须提供</w:t>
      </w:r>
      <w:r>
        <w:rPr>
          <w:rFonts w:ascii="宋体" w:hAnsi="宋体"/>
          <w:b/>
          <w:szCs w:val="21"/>
        </w:rPr>
        <w:t>国家确定的认证机构出具的、处于有效期之内的节能产品、环境标志产品认证证书，</w:t>
      </w:r>
      <w:r>
        <w:rPr>
          <w:rFonts w:ascii="宋体" w:hAnsi="宋体" w:hint="eastAsia"/>
          <w:b/>
          <w:szCs w:val="21"/>
        </w:rPr>
        <w:t>以及相应的节能或环境标志产品政府采购品目清单，并显著标识投标产品所处位置。</w:t>
      </w:r>
      <w:r>
        <w:rPr>
          <w:rFonts w:ascii="宋体" w:hAnsi="宋体" w:hint="eastAsia"/>
          <w:szCs w:val="21"/>
        </w:rPr>
        <w:t>提供以上证明材料的扫描件或复印件加盖投标人公章，提供的证书若存在不齐全、已过有效期或其他未被评标委员会接受的瑕疵将不予认可。</w:t>
      </w:r>
      <w:r>
        <w:rPr>
          <w:rFonts w:ascii="Times New Roman" w:hAnsi="Times New Roman" w:hint="eastAsia"/>
          <w:szCs w:val="21"/>
        </w:rPr>
        <w:t>投标产品若不属于上述清单或目录范围内，则无需填写该表。</w:t>
      </w:r>
    </w:p>
    <w:p>
      <w:pPr>
        <w:spacing w:line="360" w:lineRule="auto"/>
        <w:rPr>
          <w:rFonts w:ascii="宋体" w:hAnsi="宋体"/>
          <w:szCs w:val="21"/>
        </w:rPr>
      </w:pPr>
      <w:r>
        <w:rPr>
          <w:rFonts w:ascii="宋体" w:hAnsi="宋体" w:hint="eastAsia"/>
          <w:szCs w:val="21"/>
        </w:rPr>
        <w:t>2. “投标产品报价”栏中须准确填报该投标产品的投标单价、数量及投标合计报价；投标产品名称、规格型号、价格应与“分项报价表”一致，如不一致，以“分项报价表”为准。</w:t>
      </w:r>
    </w:p>
    <w:p>
      <w:pPr>
        <w:spacing w:line="360" w:lineRule="auto"/>
      </w:pPr>
      <w:r>
        <w:rPr>
          <w:rFonts w:ascii="宋体" w:hAnsi="宋体" w:hint="eastAsia"/>
          <w:szCs w:val="21"/>
        </w:rPr>
        <w:t>3. “属于优先采购清单的类别”栏中填写“节能产品政府采购品目清单”或“环境标志产品政府采购品目清单”。</w:t>
      </w:r>
      <w:r>
        <w:br w:type="page"/>
      </w:r>
    </w:p>
    <w:p>
      <w:pPr>
        <w:pStyle w:val="Heading3"/>
        <w:jc w:val="center"/>
        <w:rPr>
          <w:rFonts w:ascii="黑体" w:eastAsia="黑体"/>
          <w:b w:val="0"/>
          <w:sz w:val="24"/>
        </w:rPr>
      </w:pPr>
      <w:r>
        <w:rPr>
          <w:rFonts w:ascii="黑体" w:eastAsia="黑体" w:hint="eastAsia"/>
          <w:b w:val="0"/>
          <w:sz w:val="24"/>
        </w:rPr>
        <w:t>三、投标人情况介绍</w:t>
      </w:r>
    </w:p>
    <w:tbl>
      <w:tblPr>
        <w:tblStyle w:val="TableNormal"/>
        <w:tblW w:w="913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5"/>
        <w:gridCol w:w="2559"/>
        <w:gridCol w:w="4432"/>
        <w:gridCol w:w="1411"/>
      </w:tblGrid>
      <w:tr>
        <w:tblPrEx>
          <w:tblW w:w="913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b/>
                <w:szCs w:val="21"/>
              </w:rPr>
            </w:pPr>
            <w:r>
              <w:rPr>
                <w:rFonts w:ascii="宋体" w:hAnsi="宋体" w:hint="eastAsia"/>
                <w:b/>
                <w:szCs w:val="21"/>
              </w:rPr>
              <w:t>序号</w:t>
            </w:r>
          </w:p>
        </w:tc>
        <w:tc>
          <w:tcPr>
            <w:tcW w:w="2559" w:type="dxa"/>
          </w:tcPr>
          <w:p>
            <w:pPr>
              <w:spacing w:after="60"/>
              <w:jc w:val="center"/>
              <w:rPr>
                <w:rFonts w:ascii="宋体" w:hAnsi="宋体"/>
                <w:b/>
                <w:szCs w:val="21"/>
              </w:rPr>
            </w:pPr>
            <w:r>
              <w:rPr>
                <w:rFonts w:ascii="宋体" w:hAnsi="宋体" w:hint="eastAsia"/>
                <w:b/>
                <w:szCs w:val="21"/>
              </w:rPr>
              <w:t>项</w:t>
            </w:r>
            <w:r>
              <w:rPr>
                <w:rFonts w:ascii="宋体" w:hAnsi="宋体"/>
                <w:b/>
                <w:szCs w:val="21"/>
              </w:rPr>
              <w:t xml:space="preserve">  </w:t>
            </w:r>
            <w:r>
              <w:rPr>
                <w:rFonts w:ascii="宋体" w:hAnsi="宋体" w:hint="eastAsia"/>
                <w:b/>
                <w:szCs w:val="21"/>
              </w:rPr>
              <w:t>目</w:t>
            </w:r>
          </w:p>
        </w:tc>
        <w:tc>
          <w:tcPr>
            <w:tcW w:w="4432" w:type="dxa"/>
            <w:vAlign w:val="center"/>
          </w:tcPr>
          <w:p>
            <w:pPr>
              <w:spacing w:after="60"/>
              <w:jc w:val="center"/>
              <w:rPr>
                <w:rFonts w:ascii="宋体" w:hAnsi="宋体"/>
                <w:b/>
                <w:szCs w:val="21"/>
              </w:rPr>
            </w:pPr>
            <w:r>
              <w:rPr>
                <w:rFonts w:ascii="宋体" w:hAnsi="宋体" w:hint="eastAsia"/>
                <w:b/>
                <w:szCs w:val="21"/>
              </w:rPr>
              <w:t>内容及说明</w:t>
            </w:r>
          </w:p>
        </w:tc>
        <w:tc>
          <w:tcPr>
            <w:tcW w:w="1411" w:type="dxa"/>
            <w:vAlign w:val="center"/>
          </w:tcPr>
          <w:p>
            <w:pPr>
              <w:spacing w:after="60"/>
              <w:jc w:val="center"/>
              <w:rPr>
                <w:rFonts w:ascii="宋体" w:hAnsi="宋体"/>
                <w:b/>
                <w:szCs w:val="21"/>
              </w:rPr>
            </w:pPr>
            <w:r>
              <w:rPr>
                <w:rFonts w:ascii="宋体" w:hAnsi="宋体" w:hint="eastAsia"/>
                <w:b/>
                <w:szCs w:val="21"/>
              </w:rPr>
              <w:t>备注</w:t>
            </w: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b/>
                <w:szCs w:val="21"/>
              </w:rPr>
            </w:pPr>
            <w:r>
              <w:rPr>
                <w:rFonts w:ascii="宋体" w:hAnsi="宋体" w:hint="eastAsia"/>
                <w:b/>
                <w:szCs w:val="21"/>
              </w:rPr>
              <w:t>一</w:t>
            </w:r>
          </w:p>
        </w:tc>
        <w:tc>
          <w:tcPr>
            <w:tcW w:w="6991" w:type="dxa"/>
            <w:gridSpan w:val="2"/>
          </w:tcPr>
          <w:p>
            <w:pPr>
              <w:spacing w:after="60"/>
              <w:rPr>
                <w:rFonts w:ascii="宋体" w:hAnsi="宋体"/>
                <w:b/>
                <w:szCs w:val="21"/>
              </w:rPr>
            </w:pPr>
            <w:r>
              <w:rPr>
                <w:rFonts w:ascii="宋体" w:hAnsi="宋体" w:hint="eastAsia"/>
                <w:b/>
                <w:szCs w:val="21"/>
              </w:rPr>
              <w:t>营业执照</w:t>
            </w: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szCs w:val="21"/>
              </w:rPr>
              <w:t>1</w:t>
            </w:r>
          </w:p>
        </w:tc>
        <w:tc>
          <w:tcPr>
            <w:tcW w:w="2559" w:type="dxa"/>
            <w:vAlign w:val="center"/>
          </w:tcPr>
          <w:p>
            <w:pPr>
              <w:spacing w:after="60"/>
              <w:jc w:val="center"/>
              <w:rPr>
                <w:rFonts w:ascii="宋体" w:hAnsi="宋体"/>
                <w:szCs w:val="21"/>
              </w:rPr>
            </w:pPr>
            <w:r>
              <w:rPr>
                <w:rFonts w:ascii="宋体" w:hAnsi="宋体" w:hint="eastAsia"/>
                <w:szCs w:val="21"/>
              </w:rPr>
              <w:t>注册年度及注册编号</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szCs w:val="21"/>
              </w:rPr>
              <w:t>2</w:t>
            </w:r>
          </w:p>
        </w:tc>
        <w:tc>
          <w:tcPr>
            <w:tcW w:w="2559" w:type="dxa"/>
            <w:vAlign w:val="center"/>
          </w:tcPr>
          <w:p>
            <w:pPr>
              <w:spacing w:after="60"/>
              <w:jc w:val="center"/>
              <w:rPr>
                <w:rFonts w:ascii="宋体" w:hAnsi="宋体"/>
                <w:szCs w:val="21"/>
              </w:rPr>
            </w:pPr>
            <w:r>
              <w:rPr>
                <w:rFonts w:ascii="宋体" w:hAnsi="宋体" w:hint="eastAsia"/>
                <w:szCs w:val="21"/>
              </w:rPr>
              <w:t>注册资金（万元）</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3</w:t>
            </w:r>
          </w:p>
        </w:tc>
        <w:tc>
          <w:tcPr>
            <w:tcW w:w="2559" w:type="dxa"/>
            <w:vAlign w:val="center"/>
          </w:tcPr>
          <w:p>
            <w:pPr>
              <w:spacing w:after="60"/>
              <w:jc w:val="center"/>
              <w:rPr>
                <w:rFonts w:ascii="宋体" w:hAnsi="宋体"/>
                <w:szCs w:val="21"/>
              </w:rPr>
            </w:pPr>
            <w:r>
              <w:rPr>
                <w:rFonts w:ascii="宋体" w:hAnsi="宋体" w:hint="eastAsia"/>
                <w:szCs w:val="21"/>
              </w:rPr>
              <w:t>法定代表人</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4</w:t>
            </w:r>
          </w:p>
        </w:tc>
        <w:tc>
          <w:tcPr>
            <w:tcW w:w="2559" w:type="dxa"/>
            <w:vAlign w:val="center"/>
          </w:tcPr>
          <w:p>
            <w:pPr>
              <w:spacing w:after="60"/>
              <w:jc w:val="center"/>
              <w:rPr>
                <w:rFonts w:ascii="宋体" w:hAnsi="宋体"/>
                <w:szCs w:val="21"/>
              </w:rPr>
            </w:pPr>
            <w:r>
              <w:rPr>
                <w:rFonts w:ascii="宋体" w:hAnsi="宋体" w:hint="eastAsia"/>
                <w:szCs w:val="21"/>
              </w:rPr>
              <w:t>住所地</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5</w:t>
            </w:r>
          </w:p>
        </w:tc>
        <w:tc>
          <w:tcPr>
            <w:tcW w:w="2559" w:type="dxa"/>
            <w:vAlign w:val="center"/>
          </w:tcPr>
          <w:p>
            <w:pPr>
              <w:spacing w:after="60"/>
              <w:jc w:val="center"/>
              <w:rPr>
                <w:rFonts w:ascii="宋体" w:hAnsi="宋体"/>
                <w:szCs w:val="21"/>
              </w:rPr>
            </w:pPr>
            <w:r>
              <w:rPr>
                <w:rFonts w:ascii="宋体" w:hAnsi="宋体" w:hint="eastAsia"/>
                <w:szCs w:val="21"/>
              </w:rPr>
              <w:t>经营范围</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6</w:t>
            </w:r>
          </w:p>
        </w:tc>
        <w:tc>
          <w:tcPr>
            <w:tcW w:w="2559" w:type="dxa"/>
            <w:vAlign w:val="center"/>
          </w:tcPr>
          <w:p>
            <w:pPr>
              <w:spacing w:after="60"/>
              <w:jc w:val="center"/>
              <w:rPr>
                <w:rFonts w:ascii="宋体" w:hAnsi="宋体"/>
                <w:szCs w:val="21"/>
              </w:rPr>
            </w:pPr>
            <w:r>
              <w:rPr>
                <w:rFonts w:ascii="宋体" w:hAnsi="宋体" w:hint="eastAsia"/>
                <w:szCs w:val="21"/>
              </w:rPr>
              <w:t>开户银行及账号</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szCs w:val="21"/>
              </w:rPr>
            </w:pPr>
            <w:r>
              <w:rPr>
                <w:rFonts w:ascii="宋体" w:hAnsi="宋体" w:hint="eastAsia"/>
                <w:szCs w:val="21"/>
              </w:rPr>
              <w:t>7</w:t>
            </w:r>
          </w:p>
        </w:tc>
        <w:tc>
          <w:tcPr>
            <w:tcW w:w="2559" w:type="dxa"/>
            <w:vAlign w:val="center"/>
          </w:tcPr>
          <w:p>
            <w:pPr>
              <w:spacing w:after="60"/>
              <w:jc w:val="center"/>
              <w:rPr>
                <w:rFonts w:ascii="宋体" w:hAnsi="宋体"/>
                <w:szCs w:val="21"/>
              </w:rPr>
            </w:pPr>
            <w:r>
              <w:rPr>
                <w:rFonts w:ascii="宋体" w:hAnsi="宋体" w:hint="eastAsia"/>
                <w:szCs w:val="21"/>
              </w:rPr>
              <w:t>联系方式</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r>
        <w:tblPrEx>
          <w:tblW w:w="9137" w:type="dxa"/>
          <w:jc w:val="center"/>
          <w:tblLayout w:type="fixed"/>
          <w:tblCellMar>
            <w:top w:w="0" w:type="dxa"/>
            <w:left w:w="108" w:type="dxa"/>
            <w:bottom w:w="0" w:type="dxa"/>
            <w:right w:w="108" w:type="dxa"/>
          </w:tblCellMar>
        </w:tblPrEx>
        <w:trPr>
          <w:cantSplit/>
          <w:trHeight w:val="20"/>
          <w:jc w:val="center"/>
        </w:trPr>
        <w:tc>
          <w:tcPr>
            <w:tcW w:w="735" w:type="dxa"/>
            <w:vAlign w:val="center"/>
          </w:tcPr>
          <w:p>
            <w:pPr>
              <w:spacing w:after="60"/>
              <w:jc w:val="center"/>
              <w:rPr>
                <w:rFonts w:ascii="宋体" w:hAnsi="宋体"/>
                <w:b/>
                <w:szCs w:val="21"/>
              </w:rPr>
            </w:pPr>
            <w:r>
              <w:rPr>
                <w:rFonts w:ascii="宋体" w:hAnsi="宋体" w:hint="eastAsia"/>
                <w:b/>
                <w:szCs w:val="21"/>
              </w:rPr>
              <w:t>二</w:t>
            </w:r>
          </w:p>
        </w:tc>
        <w:tc>
          <w:tcPr>
            <w:tcW w:w="2559" w:type="dxa"/>
            <w:vAlign w:val="center"/>
          </w:tcPr>
          <w:p>
            <w:pPr>
              <w:spacing w:after="60"/>
              <w:jc w:val="left"/>
              <w:rPr>
                <w:rFonts w:ascii="宋体" w:hAnsi="宋体"/>
                <w:b/>
                <w:szCs w:val="21"/>
              </w:rPr>
            </w:pPr>
            <w:r>
              <w:rPr>
                <w:rFonts w:ascii="宋体" w:hAnsi="宋体" w:hint="eastAsia"/>
                <w:b/>
                <w:szCs w:val="21"/>
              </w:rPr>
              <w:t>其他材料</w:t>
            </w:r>
          </w:p>
        </w:tc>
        <w:tc>
          <w:tcPr>
            <w:tcW w:w="4432" w:type="dxa"/>
            <w:vAlign w:val="center"/>
          </w:tcPr>
          <w:p>
            <w:pPr>
              <w:spacing w:after="60"/>
              <w:rPr>
                <w:rFonts w:ascii="宋体" w:hAnsi="宋体"/>
                <w:szCs w:val="21"/>
              </w:rPr>
            </w:pPr>
          </w:p>
        </w:tc>
        <w:tc>
          <w:tcPr>
            <w:tcW w:w="1411" w:type="dxa"/>
            <w:vAlign w:val="center"/>
          </w:tcPr>
          <w:p>
            <w:pPr>
              <w:spacing w:after="60"/>
              <w:jc w:val="center"/>
              <w:rPr>
                <w:rFonts w:ascii="宋体" w:hAnsi="宋体"/>
                <w:szCs w:val="21"/>
              </w:rPr>
            </w:pPr>
          </w:p>
        </w:tc>
      </w:tr>
    </w:tbl>
    <w:p>
      <w:pPr>
        <w:spacing w:line="360" w:lineRule="exact"/>
        <w:rPr>
          <w:bCs/>
          <w:szCs w:val="21"/>
        </w:rPr>
      </w:pPr>
      <w:r>
        <w:rPr>
          <w:rFonts w:hint="eastAsia"/>
          <w:bCs/>
          <w:szCs w:val="21"/>
        </w:rPr>
        <w:t>注：供应商应填写上述表格内容，并可根据自身情况自行对表格内容进行补充和完善。</w:t>
      </w:r>
    </w:p>
    <w:p>
      <w:pPr>
        <w:ind w:left="632" w:hanging="630" w:hangingChars="300"/>
        <w:rPr>
          <w:b/>
          <w:bCs/>
        </w:rPr>
      </w:pPr>
    </w:p>
    <w:p>
      <w:pPr>
        <w:rPr>
          <w:rFonts w:ascii="宋体" w:hAnsi="宋体"/>
          <w:szCs w:val="21"/>
        </w:rPr>
      </w:pPr>
      <w:r>
        <w:rPr>
          <w:rFonts w:hint="eastAsia"/>
          <w:szCs w:val="21"/>
          <w:u w:val="single"/>
        </w:rPr>
        <w:t>（备注：如联合体投标，联合体各方均需提供情况介绍）</w:t>
      </w:r>
    </w:p>
    <w:p>
      <w:pPr>
        <w:ind w:left="632" w:hanging="630" w:hangingChars="300"/>
        <w:rPr>
          <w:b/>
          <w:bCs/>
        </w:rPr>
      </w:pPr>
    </w:p>
    <w:p>
      <w:pPr>
        <w:ind w:left="632" w:hanging="630" w:hangingChars="300"/>
        <w:rPr>
          <w:b/>
          <w:bCs/>
        </w:rPr>
      </w:pPr>
    </w:p>
    <w:p>
      <w:pPr>
        <w:rPr>
          <w:rFonts w:ascii="仿宋_GB2312" w:eastAsia="仿宋_GB2312" w:hint="eastAsia"/>
          <w:b/>
          <w:color w:val="FF0000"/>
          <w:sz w:val="30"/>
          <w:szCs w:val="30"/>
        </w:rPr>
      </w:pPr>
      <w:r>
        <w:rPr>
          <w:rFonts w:ascii="仿宋_GB2312" w:eastAsia="仿宋_GB2312" w:hint="eastAsia"/>
          <w:b/>
          <w:color w:val="FF0000"/>
          <w:sz w:val="30"/>
          <w:szCs w:val="30"/>
        </w:rPr>
        <w:br w:type="page"/>
      </w:r>
    </w:p>
    <w:p>
      <w:pPr>
        <w:rPr>
          <w:rFonts w:ascii="仿宋_GB2312" w:eastAsia="仿宋_GB2312"/>
          <w:b/>
          <w:color w:val="FF0000"/>
          <w:sz w:val="30"/>
          <w:szCs w:val="30"/>
        </w:rPr>
      </w:pPr>
      <w:r>
        <w:rPr>
          <w:rFonts w:ascii="仿宋_GB2312" w:eastAsia="仿宋_GB2312" w:hint="eastAsia"/>
          <w:b/>
          <w:color w:val="FF0000"/>
          <w:sz w:val="30"/>
          <w:szCs w:val="30"/>
        </w:rPr>
        <w:t>投标文件附件（信息不公开部分）：</w:t>
      </w:r>
    </w:p>
    <w:p>
      <w:pPr>
        <w:keepNext/>
        <w:keepLines/>
        <w:spacing w:before="260" w:after="260"/>
        <w:jc w:val="center"/>
        <w:outlineLvl w:val="2"/>
        <w:rPr>
          <w:rFonts w:ascii="黑体" w:eastAsia="黑体" w:hAnsi="宋体"/>
          <w:bCs/>
          <w:kern w:val="0"/>
          <w:sz w:val="24"/>
          <w:szCs w:val="32"/>
        </w:rPr>
      </w:pPr>
      <w:r>
        <w:rPr>
          <w:rFonts w:ascii="黑体" w:eastAsia="黑体" w:hAnsi="宋体" w:hint="eastAsia"/>
          <w:bCs/>
          <w:kern w:val="0"/>
          <w:sz w:val="24"/>
          <w:szCs w:val="32"/>
          <w:lang w:val="en-US" w:eastAsia="zh-CN"/>
        </w:rPr>
        <w:t>四</w:t>
      </w:r>
      <w:r>
        <w:rPr>
          <w:rFonts w:ascii="黑体" w:eastAsia="黑体" w:hAnsi="宋体" w:hint="eastAsia"/>
          <w:bCs/>
          <w:kern w:val="0"/>
          <w:sz w:val="24"/>
          <w:szCs w:val="32"/>
        </w:rPr>
        <w:t>、政府采购违法行为风险知悉确认书</w:t>
      </w:r>
    </w:p>
    <w:p>
      <w:pPr>
        <w:spacing w:before="0" w:beforeLines="0" w:after="156" w:afterLines="50" w:line="360" w:lineRule="exact"/>
        <w:ind w:firstLine="420" w:firstLineChars="200"/>
        <w:rPr>
          <w:rFonts w:ascii="宋体" w:eastAsia="宋体" w:hAnsi="宋体" w:cs="宋体" w:hint="eastAsia"/>
          <w:b/>
          <w:bCs/>
          <w:color w:val="auto"/>
          <w:sz w:val="21"/>
          <w:szCs w:val="21"/>
          <w:lang w:val="en-US" w:eastAsia="zh-CN"/>
        </w:rPr>
      </w:pPr>
      <w:r>
        <w:rPr>
          <w:rFonts w:ascii="宋体" w:eastAsia="宋体" w:hAnsi="宋体" w:cs="宋体" w:hint="eastAsia"/>
          <w:b/>
          <w:bCs/>
          <w:color w:val="auto"/>
          <w:sz w:val="21"/>
          <w:szCs w:val="21"/>
          <w:lang w:eastAsia="zh-CN"/>
        </w:rPr>
        <w:t>我</w:t>
      </w:r>
      <w:r>
        <w:rPr>
          <w:rFonts w:ascii="宋体" w:eastAsia="宋体" w:hAnsi="宋体" w:cs="宋体" w:hint="eastAsia"/>
          <w:b/>
          <w:bCs/>
          <w:color w:val="auto"/>
          <w:sz w:val="21"/>
          <w:szCs w:val="21"/>
          <w:lang w:val="en-US" w:eastAsia="zh-CN"/>
        </w:rPr>
        <w:t>单位</w:t>
      </w:r>
      <w:r>
        <w:rPr>
          <w:rFonts w:ascii="宋体" w:eastAsia="宋体" w:hAnsi="宋体" w:cs="宋体" w:hint="eastAsia"/>
          <w:b/>
          <w:bCs/>
          <w:color w:val="auto"/>
          <w:sz w:val="21"/>
          <w:szCs w:val="21"/>
        </w:rPr>
        <w:t>在投标前已充分知悉以下情形为参与政府采购活动时的重大风险事项，并承诺已对下述风险提示事项重点排查，</w:t>
      </w:r>
      <w:r>
        <w:rPr>
          <w:rFonts w:ascii="宋体" w:eastAsia="宋体" w:hAnsi="宋体" w:cs="宋体" w:hint="eastAsia"/>
          <w:b/>
          <w:bCs/>
          <w:color w:val="auto"/>
          <w:sz w:val="21"/>
          <w:szCs w:val="21"/>
          <w:lang w:val="en-US" w:eastAsia="zh-CN"/>
        </w:rPr>
        <w:t>若存在下述情况，我单位愿意依法承担被记入供应商诚信档案、罚款、取消参与政府采购资格、吊销营业执照等处罚；构成犯罪的，依法承担刑事责任。</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
        <w:gridCol w:w="781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1"/>
          <w:jc w:val="center"/>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序号</w:t>
            </w:r>
          </w:p>
        </w:tc>
        <w:tc>
          <w:tcPr>
            <w:tcW w:w="78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b/>
                <w:bCs/>
                <w:color w:val="auto"/>
                <w:sz w:val="21"/>
                <w:szCs w:val="21"/>
                <w:highlight w:val="none"/>
                <w:lang w:val="en-US" w:eastAsia="zh-CN"/>
              </w:rPr>
              <w:t>供应商参与投标禁止情形</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1</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与其他投标供应商的法定代表人、主要经营负责人、投标授权代表人、项目负责人、主要技术人员为</w:t>
            </w:r>
            <w:r>
              <w:rPr>
                <w:rFonts w:ascii="宋体" w:eastAsia="宋体" w:hAnsi="宋体" w:cs="宋体" w:hint="eastAsia"/>
                <w:b/>
                <w:bCs/>
                <w:color w:val="auto"/>
                <w:sz w:val="21"/>
                <w:szCs w:val="21"/>
                <w:highlight w:val="none"/>
                <w:lang w:val="en-US" w:eastAsia="zh-CN"/>
              </w:rPr>
              <w:t>同一人、属同一单位或者在同一单位缴纳社会保险</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trHeight w:val="90"/>
          <w:jc w:val="center"/>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2</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参与本项目政府采购活动时，与其他投标供应商存在单位负责人为</w:t>
            </w:r>
            <w:r>
              <w:rPr>
                <w:rFonts w:ascii="宋体" w:eastAsia="宋体" w:hAnsi="宋体" w:cs="宋体" w:hint="eastAsia"/>
                <w:b/>
                <w:bCs/>
                <w:color w:val="auto"/>
                <w:sz w:val="21"/>
                <w:szCs w:val="21"/>
                <w:highlight w:val="none"/>
                <w:lang w:val="en-US" w:eastAsia="zh-CN"/>
              </w:rPr>
              <w:t>同一人或直接控股、管理关系</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3</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与其他投标供应商的投标文件或部分投标文件</w:t>
            </w:r>
            <w:r>
              <w:rPr>
                <w:rFonts w:ascii="宋体" w:eastAsia="宋体" w:hAnsi="宋体" w:cs="宋体" w:hint="eastAsia"/>
                <w:b/>
                <w:bCs/>
                <w:color w:val="auto"/>
                <w:sz w:val="21"/>
                <w:szCs w:val="21"/>
                <w:highlight w:val="none"/>
                <w:lang w:val="en-US" w:eastAsia="zh-CN"/>
              </w:rPr>
              <w:t>相互混装或存在非正常一致</w:t>
            </w:r>
            <w:r>
              <w:rPr>
                <w:rFonts w:ascii="宋体" w:eastAsia="宋体" w:hAnsi="宋体" w:cs="宋体" w:hint="eastAsia"/>
                <w:color w:val="auto"/>
                <w:sz w:val="21"/>
                <w:szCs w:val="21"/>
                <w:highlight w:val="none"/>
                <w:lang w:val="en-US" w:eastAsia="zh-CN"/>
              </w:rPr>
              <w:t>。</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4</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与其他投标供应商的投标文件由</w:t>
            </w:r>
            <w:r>
              <w:rPr>
                <w:rFonts w:ascii="宋体" w:eastAsia="宋体" w:hAnsi="宋体" w:cs="宋体" w:hint="eastAsia"/>
                <w:b/>
                <w:bCs/>
                <w:color w:val="auto"/>
                <w:sz w:val="21"/>
                <w:szCs w:val="21"/>
                <w:highlight w:val="none"/>
                <w:lang w:val="en-US" w:eastAsia="zh-CN"/>
              </w:rPr>
              <w:t>同一单位或者同一人编制</w:t>
            </w:r>
            <w:r>
              <w:rPr>
                <w:rFonts w:ascii="宋体" w:eastAsia="宋体" w:hAnsi="宋体" w:cs="宋体" w:hint="eastAsia"/>
                <w:color w:val="auto"/>
                <w:sz w:val="21"/>
                <w:szCs w:val="21"/>
                <w:highlight w:val="none"/>
                <w:lang w:val="en-US" w:eastAsia="zh-CN"/>
              </w:rPr>
              <w:t>，或者使用</w:t>
            </w:r>
            <w:r>
              <w:rPr>
                <w:rFonts w:ascii="宋体" w:eastAsia="宋体" w:hAnsi="宋体" w:cs="宋体" w:hint="eastAsia"/>
                <w:b/>
                <w:bCs/>
                <w:color w:val="auto"/>
                <w:sz w:val="21"/>
                <w:szCs w:val="21"/>
                <w:highlight w:val="none"/>
                <w:lang w:val="en-US" w:eastAsia="zh-CN"/>
              </w:rPr>
              <w:t>同一设备编制</w:t>
            </w:r>
            <w:r>
              <w:rPr>
                <w:rFonts w:ascii="宋体" w:eastAsia="宋体" w:hAnsi="宋体" w:cs="宋体" w:hint="eastAsia"/>
                <w:color w:val="auto"/>
                <w:sz w:val="21"/>
                <w:szCs w:val="21"/>
                <w:highlight w:val="none"/>
                <w:lang w:val="en-US" w:eastAsia="zh-CN"/>
              </w:rPr>
              <w:t>（“文件制作机器码”“文件创建标识码”一致）。</w:t>
            </w:r>
          </w:p>
        </w:tc>
      </w:tr>
      <w:tr>
        <w:tblPrEx>
          <w:tblW w:w="0" w:type="auto"/>
          <w:jc w:val="center"/>
          <w:tblCellMar>
            <w:top w:w="0" w:type="dxa"/>
            <w:left w:w="108" w:type="dxa"/>
            <w:bottom w:w="0" w:type="dxa"/>
            <w:right w:w="108" w:type="dxa"/>
          </w:tblCellMar>
        </w:tblPrEx>
        <w:trPr>
          <w:trHeight w:val="90"/>
          <w:jc w:val="center"/>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5</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提供</w:t>
            </w:r>
            <w:r>
              <w:rPr>
                <w:rFonts w:ascii="宋体" w:eastAsia="宋体" w:hAnsi="宋体" w:cs="宋体" w:hint="eastAsia"/>
                <w:b/>
                <w:bCs/>
                <w:color w:val="auto"/>
                <w:sz w:val="21"/>
                <w:szCs w:val="21"/>
                <w:highlight w:val="none"/>
                <w:lang w:val="en-US" w:eastAsia="zh-CN"/>
              </w:rPr>
              <w:t>未经出具机构核实</w:t>
            </w:r>
            <w:r>
              <w:rPr>
                <w:rFonts w:ascii="宋体" w:eastAsia="宋体" w:hAnsi="宋体" w:cs="宋体" w:hint="eastAsia"/>
                <w:color w:val="auto"/>
                <w:sz w:val="21"/>
                <w:szCs w:val="21"/>
                <w:highlight w:val="none"/>
                <w:lang w:val="en-US" w:eastAsia="zh-CN"/>
              </w:rPr>
              <w:t>的虚假的检验检测报告、业绩材料、社保缴纳证明、学历学位证书、职称认证证书等材料。</w:t>
            </w:r>
          </w:p>
        </w:tc>
      </w:tr>
      <w:tr>
        <w:tblPrEx>
          <w:tblW w:w="0" w:type="auto"/>
          <w:jc w:val="center"/>
          <w:tblCellMar>
            <w:top w:w="0" w:type="dxa"/>
            <w:left w:w="108" w:type="dxa"/>
            <w:bottom w:w="0" w:type="dxa"/>
            <w:right w:w="108" w:type="dxa"/>
          </w:tblCellMar>
        </w:tblPrEx>
        <w:trPr>
          <w:jc w:val="center"/>
        </w:trPr>
        <w:tc>
          <w:tcPr>
            <w:tcW w:w="711" w:type="dxa"/>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eastAsia="宋体" w:hAnsi="宋体" w:cs="宋体" w:hint="eastAsia"/>
                <w:color w:val="auto"/>
                <w:sz w:val="21"/>
                <w:szCs w:val="21"/>
                <w:highlight w:val="none"/>
                <w:lang w:val="en-US" w:eastAsia="zh-CN"/>
              </w:rPr>
            </w:pPr>
            <w:r>
              <w:rPr>
                <w:rFonts w:ascii="宋体" w:eastAsia="宋体" w:hAnsi="宋体" w:cs="宋体" w:hint="eastAsia"/>
                <w:color w:val="auto"/>
                <w:sz w:val="21"/>
                <w:szCs w:val="21"/>
                <w:highlight w:val="none"/>
                <w:lang w:val="en-US" w:eastAsia="zh-CN"/>
              </w:rPr>
              <w:t>6</w:t>
            </w:r>
          </w:p>
        </w:tc>
        <w:tc>
          <w:tcPr>
            <w:tcW w:w="7811"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eastAsia="宋体" w:hAnsi="宋体" w:cs="宋体" w:hint="eastAsia"/>
                <w:color w:val="auto"/>
                <w:kern w:val="2"/>
                <w:sz w:val="21"/>
                <w:szCs w:val="21"/>
                <w:highlight w:val="none"/>
                <w:lang w:val="en-US" w:eastAsia="zh-CN" w:bidi="ar-SA"/>
              </w:rPr>
            </w:pPr>
            <w:r>
              <w:rPr>
                <w:rFonts w:ascii="宋体" w:eastAsia="宋体" w:hAnsi="宋体" w:cs="宋体" w:hint="eastAsia"/>
                <w:color w:val="auto"/>
                <w:sz w:val="21"/>
                <w:szCs w:val="21"/>
                <w:highlight w:val="none"/>
                <w:lang w:val="en-US" w:eastAsia="zh-CN"/>
              </w:rPr>
              <w:t>擅自将投标密钥或电子营业执照出借他人使用或未妥善保管。</w:t>
            </w:r>
          </w:p>
        </w:tc>
      </w:tr>
    </w:tbl>
    <w:p>
      <w:pPr>
        <w:spacing w:before="156" w:beforeLines="50" w:line="380" w:lineRule="exact"/>
        <w:ind w:firstLine="420" w:firstLineChars="200"/>
        <w:rPr>
          <w:rFonts w:ascii="宋体" w:eastAsia="宋体" w:hAnsi="宋体" w:cs="宋体" w:hint="eastAsia"/>
          <w:b/>
          <w:color w:val="auto"/>
          <w:sz w:val="21"/>
          <w:szCs w:val="21"/>
        </w:rPr>
      </w:pPr>
      <w:r>
        <w:rPr>
          <w:rFonts w:ascii="宋体" w:eastAsia="宋体" w:hAnsi="宋体" w:cs="宋体" w:hint="eastAsia"/>
          <w:b/>
          <w:color w:val="auto"/>
          <w:sz w:val="21"/>
          <w:szCs w:val="21"/>
        </w:rPr>
        <w:t>一、</w:t>
      </w:r>
      <w:r>
        <w:rPr>
          <w:rFonts w:ascii="宋体" w:eastAsia="宋体" w:hAnsi="宋体" w:cs="宋体" w:hint="eastAsia"/>
          <w:b/>
          <w:color w:val="auto"/>
          <w:sz w:val="21"/>
          <w:szCs w:val="21"/>
          <w:lang w:eastAsia="zh-CN"/>
        </w:rPr>
        <w:t>我</w:t>
      </w:r>
      <w:r>
        <w:rPr>
          <w:rFonts w:ascii="宋体" w:eastAsia="宋体" w:hAnsi="宋体" w:cs="宋体" w:hint="eastAsia"/>
          <w:b/>
          <w:color w:val="auto"/>
          <w:sz w:val="21"/>
          <w:szCs w:val="21"/>
          <w:lang w:val="en-US" w:eastAsia="zh-CN"/>
        </w:rPr>
        <w:t>单位</w:t>
      </w:r>
      <w:r>
        <w:rPr>
          <w:rFonts w:ascii="宋体" w:eastAsia="宋体" w:hAnsi="宋体" w:cs="宋体" w:hint="eastAsia"/>
          <w:b/>
          <w:color w:val="auto"/>
          <w:sz w:val="21"/>
          <w:szCs w:val="21"/>
        </w:rPr>
        <w:t>已充分知悉“隐瞒真实情况，提供虚假资料”的法定情形，包括但不限于：</w:t>
      </w:r>
    </w:p>
    <w:p>
      <w:pPr>
        <w:spacing w:beforeLines="0" w:line="38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（一）通过转让或者租借等方式从其他单位获取资格或者资质证书投标的</w:t>
      </w:r>
      <w:r>
        <w:rPr>
          <w:rFonts w:ascii="宋体" w:eastAsia="宋体" w:hAnsi="宋体" w:cs="宋体" w:hint="eastAsia"/>
          <w:color w:val="auto"/>
          <w:sz w:val="21"/>
          <w:szCs w:val="21"/>
          <w:highlight w:val="none"/>
        </w:rPr>
        <w:t>。</w:t>
      </w:r>
    </w:p>
    <w:p>
      <w:pPr>
        <w:spacing w:beforeLines="0" w:line="38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（二）由其他单位或者其他单位负责人在投标供应商编制的投标文件上加盖印章或者签字的。</w:t>
      </w:r>
    </w:p>
    <w:p>
      <w:pPr>
        <w:spacing w:beforeLines="0" w:line="38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（三）项目负责人或者主要技术人员不是本单位人员的。</w:t>
      </w:r>
    </w:p>
    <w:p>
      <w:pPr>
        <w:spacing w:beforeLines="0" w:line="38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（四）投标保证金不是从投标供应商基本账户转出的。</w:t>
      </w:r>
    </w:p>
    <w:p>
      <w:pPr>
        <w:spacing w:beforeLines="0" w:line="38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（五）其他隐瞒真实情况、提供虚假资料的行为。</w:t>
      </w:r>
    </w:p>
    <w:p>
      <w:pPr>
        <w:spacing w:beforeLines="0" w:line="380" w:lineRule="exact"/>
        <w:ind w:firstLine="420" w:firstLineChars="200"/>
        <w:rPr>
          <w:rFonts w:ascii="宋体" w:eastAsia="宋体" w:hAnsi="宋体" w:cs="宋体" w:hint="eastAsia"/>
          <w:b/>
          <w:color w:val="auto"/>
          <w:sz w:val="21"/>
          <w:szCs w:val="21"/>
        </w:rPr>
      </w:pPr>
      <w:r>
        <w:rPr>
          <w:rFonts w:ascii="宋体" w:eastAsia="宋体" w:hAnsi="宋体" w:cs="宋体" w:hint="eastAsia"/>
          <w:b/>
          <w:color w:val="auto"/>
          <w:sz w:val="21"/>
          <w:szCs w:val="21"/>
        </w:rPr>
        <w:t>二、</w:t>
      </w:r>
      <w:r>
        <w:rPr>
          <w:rFonts w:ascii="宋体" w:eastAsia="宋体" w:hAnsi="宋体" w:cs="宋体" w:hint="eastAsia"/>
          <w:b/>
          <w:color w:val="auto"/>
          <w:sz w:val="21"/>
          <w:szCs w:val="21"/>
          <w:lang w:eastAsia="zh-CN"/>
        </w:rPr>
        <w:t>我</w:t>
      </w:r>
      <w:r>
        <w:rPr>
          <w:rFonts w:ascii="宋体" w:eastAsia="宋体" w:hAnsi="宋体" w:cs="宋体" w:hint="eastAsia"/>
          <w:b/>
          <w:color w:val="auto"/>
          <w:sz w:val="21"/>
          <w:szCs w:val="21"/>
          <w:lang w:val="en-US" w:eastAsia="zh-CN"/>
        </w:rPr>
        <w:t>单位</w:t>
      </w:r>
      <w:r>
        <w:rPr>
          <w:rFonts w:ascii="宋体" w:eastAsia="宋体" w:hAnsi="宋体" w:cs="宋体" w:hint="eastAsia"/>
          <w:b/>
          <w:color w:val="auto"/>
          <w:sz w:val="21"/>
          <w:szCs w:val="21"/>
        </w:rPr>
        <w:t>已充分知悉“与其他采购参加人串通投标”的法定情形，包括但不限于：</w:t>
      </w:r>
    </w:p>
    <w:p>
      <w:pPr>
        <w:spacing w:beforeLines="0" w:line="38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（一）投标供应商之间相互约定给予未中标的供应商利益补偿。</w:t>
      </w:r>
    </w:p>
    <w:p>
      <w:pPr>
        <w:spacing w:beforeLines="0" w:line="38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（二）不同投标供应商的法定代表人、主要经营负责人、项目投标授权代表人、项目负责人、主要技术人员为同一人、属同一单位或者在同一单位缴纳社会保险。</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（三）不同投标供应商的投标文件由同一单位或者同一人编制，或者由同一人分阶段参与编制的。</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（四）不同投标供应商的投标文件或部分投标文件相互混装。</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（五）不同投标供应商的投标文件内容存在非正常一致。</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（六）由同一单位工作人员为两家以上（含两家）供应商进行同一项投标活动的。</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（七）不同投标人的投标报价呈规律性差异。</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（八）不同投标人的投标保证金从同一单位或者个人的账户转出。</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（九）主管部门依照法律、法规认定的其他情形。</w:t>
      </w:r>
    </w:p>
    <w:p>
      <w:pPr>
        <w:spacing w:beforeLines="0" w:line="340" w:lineRule="exact"/>
        <w:ind w:firstLine="420" w:firstLineChars="200"/>
        <w:rPr>
          <w:rFonts w:ascii="宋体" w:eastAsia="宋体" w:hAnsi="宋体" w:cs="宋体" w:hint="eastAsia"/>
          <w:b/>
          <w:color w:val="auto"/>
          <w:sz w:val="21"/>
          <w:szCs w:val="21"/>
        </w:rPr>
      </w:pPr>
      <w:r>
        <w:rPr>
          <w:rFonts w:ascii="宋体" w:eastAsia="宋体" w:hAnsi="宋体" w:cs="宋体" w:hint="eastAsia"/>
          <w:b/>
          <w:color w:val="auto"/>
          <w:sz w:val="21"/>
          <w:szCs w:val="21"/>
        </w:rPr>
        <w:t>三、</w:t>
      </w:r>
      <w:r>
        <w:rPr>
          <w:rFonts w:ascii="宋体" w:eastAsia="宋体" w:hAnsi="宋体" w:cs="宋体" w:hint="eastAsia"/>
          <w:b/>
          <w:color w:val="auto"/>
          <w:sz w:val="21"/>
          <w:szCs w:val="21"/>
          <w:lang w:eastAsia="zh-CN"/>
        </w:rPr>
        <w:t>我</w:t>
      </w:r>
      <w:r>
        <w:rPr>
          <w:rFonts w:ascii="宋体" w:eastAsia="宋体" w:hAnsi="宋体" w:cs="宋体" w:hint="eastAsia"/>
          <w:b/>
          <w:color w:val="auto"/>
          <w:sz w:val="21"/>
          <w:szCs w:val="21"/>
          <w:lang w:val="en-US" w:eastAsia="zh-CN"/>
        </w:rPr>
        <w:t>单位</w:t>
      </w:r>
      <w:r>
        <w:rPr>
          <w:rFonts w:ascii="宋体" w:eastAsia="宋体" w:hAnsi="宋体" w:cs="宋体" w:hint="eastAsia"/>
          <w:b/>
          <w:color w:val="auto"/>
          <w:sz w:val="21"/>
          <w:szCs w:val="21"/>
        </w:rPr>
        <w:t>已充分知悉下列情形</w:t>
      </w:r>
      <w:r>
        <w:rPr>
          <w:rFonts w:ascii="宋体" w:eastAsia="宋体" w:hAnsi="宋体" w:cs="宋体" w:hint="eastAsia"/>
          <w:b/>
          <w:color w:val="auto"/>
          <w:sz w:val="21"/>
          <w:szCs w:val="21"/>
          <w:lang w:eastAsia="zh-CN"/>
        </w:rPr>
        <w:t>存在</w:t>
      </w:r>
      <w:r>
        <w:rPr>
          <w:rFonts w:ascii="宋体" w:eastAsia="宋体" w:hAnsi="宋体" w:cs="宋体" w:hint="eastAsia"/>
          <w:b/>
          <w:color w:val="auto"/>
          <w:sz w:val="21"/>
          <w:szCs w:val="21"/>
        </w:rPr>
        <w:t>法律风险，在投标前已对相关风险事项进行排</w:t>
      </w:r>
      <w:r>
        <w:rPr>
          <w:rFonts w:ascii="宋体" w:eastAsia="宋体" w:hAnsi="宋体" w:cs="宋体" w:hint="eastAsia"/>
          <w:b/>
          <w:color w:val="auto"/>
          <w:sz w:val="21"/>
          <w:szCs w:val="21"/>
          <w:highlight w:val="none"/>
        </w:rPr>
        <w:t>查。</w:t>
      </w:r>
    </w:p>
    <w:p>
      <w:pPr>
        <w:spacing w:beforeLines="0" w:line="340" w:lineRule="exact"/>
        <w:ind w:firstLine="420" w:firstLineChars="200"/>
        <w:rPr>
          <w:rFonts w:ascii="宋体" w:eastAsia="宋体" w:hAnsi="宋体" w:cs="宋体" w:hint="eastAsia"/>
          <w:b/>
          <w:color w:val="auto"/>
          <w:sz w:val="21"/>
          <w:szCs w:val="21"/>
        </w:rPr>
      </w:pPr>
      <w:r>
        <w:rPr>
          <w:rFonts w:ascii="宋体" w:eastAsia="宋体" w:hAnsi="宋体" w:cs="宋体" w:hint="eastAsia"/>
          <w:color w:val="auto"/>
          <w:sz w:val="21"/>
          <w:szCs w:val="21"/>
        </w:rPr>
        <w:t>（一）对于从其他主体获取的投标资料，</w:t>
      </w:r>
      <w:r>
        <w:rPr>
          <w:rFonts w:ascii="宋体" w:eastAsia="宋体" w:hAnsi="宋体" w:cs="宋体" w:hint="eastAsia"/>
          <w:color w:val="auto"/>
          <w:sz w:val="21"/>
          <w:szCs w:val="21"/>
          <w:lang w:eastAsia="zh-CN"/>
        </w:rPr>
        <w:t>我</w:t>
      </w:r>
      <w:r>
        <w:rPr>
          <w:rFonts w:ascii="宋体" w:eastAsia="宋体" w:hAnsi="宋体" w:cs="宋体" w:hint="eastAsia"/>
          <w:color w:val="auto"/>
          <w:sz w:val="21"/>
          <w:szCs w:val="21"/>
          <w:lang w:val="en-US" w:eastAsia="zh-CN"/>
        </w:rPr>
        <w:t>单位</w:t>
      </w:r>
      <w:r>
        <w:rPr>
          <w:rFonts w:ascii="宋体" w:eastAsia="宋体" w:hAnsi="宋体" w:cs="宋体" w:hint="eastAsia"/>
          <w:color w:val="auto"/>
          <w:sz w:val="21"/>
          <w:szCs w:val="21"/>
        </w:rPr>
        <w:t>应审慎核查，确保</w:t>
      </w:r>
      <w:r>
        <w:rPr>
          <w:rFonts w:ascii="宋体" w:eastAsia="宋体" w:hAnsi="宋体" w:cs="宋体" w:hint="eastAsia"/>
          <w:color w:val="auto"/>
          <w:sz w:val="21"/>
          <w:szCs w:val="21"/>
          <w:lang w:eastAsia="zh-CN"/>
        </w:rPr>
        <w:t>其</w:t>
      </w:r>
      <w:r>
        <w:rPr>
          <w:rFonts w:ascii="宋体" w:eastAsia="宋体" w:hAnsi="宋体" w:cs="宋体" w:hint="eastAsia"/>
          <w:color w:val="auto"/>
          <w:sz w:val="21"/>
          <w:szCs w:val="21"/>
        </w:rPr>
        <w:t>真实性。</w:t>
      </w:r>
      <w:r>
        <w:rPr>
          <w:rFonts w:ascii="宋体" w:eastAsia="宋体" w:hAnsi="宋体" w:cs="宋体" w:hint="eastAsia"/>
          <w:b/>
          <w:color w:val="auto"/>
          <w:sz w:val="21"/>
          <w:szCs w:val="21"/>
        </w:rPr>
        <w:t>如主管部门查实投标文件中存在虚假资料的，无论相关资料是否由第三方或本公司员工提供，均不影响主管部门对供应商存在“隐瞒真实情况，提供虚假资料”违法行为的认定。</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（二）对于涉及国家机关出具的公文、证件、证明材料等文件，一旦涉嫌虚假，经查实，主管部门将依法从严处理，并移送有关部门追究法律责任；涉嫌犯罪的，移送司法机关</w:t>
      </w:r>
      <w:r>
        <w:rPr>
          <w:rFonts w:ascii="宋体" w:eastAsia="宋体" w:hAnsi="宋体" w:cs="宋体" w:hint="eastAsia"/>
          <w:color w:val="auto"/>
          <w:sz w:val="21"/>
          <w:szCs w:val="21"/>
          <w:lang w:eastAsia="zh-CN"/>
        </w:rPr>
        <w:t>处理</w:t>
      </w:r>
      <w:r>
        <w:rPr>
          <w:rFonts w:ascii="宋体" w:eastAsia="宋体" w:hAnsi="宋体" w:cs="宋体" w:hint="eastAsia"/>
          <w:color w:val="auto"/>
          <w:sz w:val="21"/>
          <w:szCs w:val="21"/>
        </w:rPr>
        <w:t>。</w:t>
      </w:r>
    </w:p>
    <w:p>
      <w:pPr>
        <w:spacing w:beforeLines="0" w:line="340" w:lineRule="exact"/>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三</w:t>
      </w:r>
      <w:r>
        <w:rPr>
          <w:rFonts w:ascii="宋体" w:eastAsia="宋体" w:hAnsi="宋体" w:cs="宋体" w:hint="eastAsia"/>
          <w:color w:val="auto"/>
          <w:sz w:val="21"/>
          <w:szCs w:val="21"/>
        </w:rPr>
        <w:t>）</w:t>
      </w:r>
      <w:r>
        <w:rPr>
          <w:rFonts w:ascii="宋体" w:eastAsia="宋体" w:hAnsi="宋体" w:cs="宋体" w:hint="eastAsia"/>
          <w:color w:val="auto"/>
          <w:sz w:val="21"/>
          <w:szCs w:val="21"/>
          <w:lang w:eastAsia="zh-CN"/>
        </w:rPr>
        <w:t>我</w:t>
      </w:r>
      <w:r>
        <w:rPr>
          <w:rFonts w:ascii="宋体" w:eastAsia="宋体" w:hAnsi="宋体" w:cs="宋体" w:hint="eastAsia"/>
          <w:color w:val="auto"/>
          <w:sz w:val="21"/>
          <w:szCs w:val="21"/>
          <w:lang w:val="en-US" w:eastAsia="zh-CN"/>
        </w:rPr>
        <w:t>单位</w:t>
      </w:r>
      <w:r>
        <w:rPr>
          <w:rFonts w:ascii="宋体" w:eastAsia="宋体" w:hAnsi="宋体" w:cs="宋体" w:hint="eastAsia"/>
          <w:color w:val="auto"/>
          <w:sz w:val="21"/>
          <w:szCs w:val="21"/>
        </w:rPr>
        <w:t>对投标电子密钥</w:t>
      </w:r>
      <w:r>
        <w:rPr>
          <w:rFonts w:ascii="宋体" w:eastAsia="宋体" w:hAnsi="宋体" w:cs="宋体" w:hint="eastAsia"/>
          <w:color w:val="auto"/>
          <w:sz w:val="21"/>
          <w:szCs w:val="21"/>
          <w:lang w:eastAsia="zh-CN"/>
        </w:rPr>
        <w:t>或</w:t>
      </w:r>
      <w:r>
        <w:rPr>
          <w:rFonts w:ascii="宋体" w:eastAsia="宋体" w:hAnsi="宋体" w:cs="宋体" w:hint="eastAsia"/>
          <w:color w:val="auto"/>
          <w:sz w:val="21"/>
          <w:szCs w:val="21"/>
          <w:lang w:val="en-US" w:eastAsia="zh-CN"/>
        </w:rPr>
        <w:t>电子营业执照</w:t>
      </w:r>
      <w:r>
        <w:rPr>
          <w:rFonts w:ascii="宋体" w:eastAsia="宋体" w:hAnsi="宋体" w:cs="宋体" w:hint="eastAsia"/>
          <w:color w:val="auto"/>
          <w:sz w:val="21"/>
          <w:szCs w:val="21"/>
        </w:rPr>
        <w:t>负有妥善保管、及时变更和续期等主体责任</w:t>
      </w: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使用电子密钥</w:t>
      </w:r>
      <w:r>
        <w:rPr>
          <w:rFonts w:ascii="宋体" w:eastAsia="宋体" w:hAnsi="宋体" w:cs="宋体" w:hint="eastAsia"/>
          <w:color w:val="auto"/>
          <w:sz w:val="21"/>
          <w:szCs w:val="21"/>
          <w:lang w:eastAsia="zh-CN"/>
        </w:rPr>
        <w:t>或</w:t>
      </w:r>
      <w:r>
        <w:rPr>
          <w:rFonts w:ascii="宋体" w:eastAsia="宋体" w:hAnsi="宋体" w:cs="宋体" w:hint="eastAsia"/>
          <w:color w:val="auto"/>
          <w:sz w:val="21"/>
          <w:szCs w:val="21"/>
          <w:lang w:val="en-US" w:eastAsia="zh-CN"/>
        </w:rPr>
        <w:t>电子营业执照</w:t>
      </w:r>
      <w:r>
        <w:rPr>
          <w:rFonts w:ascii="宋体" w:eastAsia="宋体" w:hAnsi="宋体" w:cs="宋体" w:hint="eastAsia"/>
          <w:color w:val="auto"/>
          <w:sz w:val="21"/>
          <w:szCs w:val="21"/>
        </w:rPr>
        <w:t>在深圳政府采购网站进行的活动，均具有法律效力，须承担相应的法律后果。</w:t>
      </w:r>
      <w:r>
        <w:rPr>
          <w:rFonts w:ascii="宋体" w:eastAsia="宋体" w:hAnsi="宋体" w:cs="宋体" w:hint="eastAsia"/>
          <w:color w:val="auto"/>
          <w:sz w:val="21"/>
          <w:szCs w:val="21"/>
          <w:lang w:eastAsia="zh-CN"/>
        </w:rPr>
        <w:t>若</w:t>
      </w:r>
      <w:r>
        <w:rPr>
          <w:rFonts w:ascii="宋体" w:eastAsia="宋体" w:hAnsi="宋体" w:cs="宋体" w:hint="eastAsia"/>
          <w:b/>
          <w:bCs/>
          <w:color w:val="auto"/>
          <w:sz w:val="21"/>
          <w:szCs w:val="21"/>
        </w:rPr>
        <w:t>擅自将投标密钥</w:t>
      </w:r>
      <w:r>
        <w:rPr>
          <w:rFonts w:ascii="宋体" w:eastAsia="宋体" w:hAnsi="宋体" w:cs="宋体" w:hint="eastAsia"/>
          <w:b/>
          <w:bCs/>
          <w:color w:val="auto"/>
          <w:sz w:val="21"/>
          <w:szCs w:val="21"/>
          <w:lang w:eastAsia="zh-CN"/>
        </w:rPr>
        <w:t>或</w:t>
      </w:r>
      <w:r>
        <w:rPr>
          <w:rFonts w:ascii="宋体" w:eastAsia="宋体" w:hAnsi="宋体" w:cs="宋体" w:hint="eastAsia"/>
          <w:b/>
          <w:bCs/>
          <w:color w:val="auto"/>
          <w:sz w:val="21"/>
          <w:szCs w:val="21"/>
          <w:lang w:val="en-US" w:eastAsia="zh-CN"/>
        </w:rPr>
        <w:t>电子营业执照</w:t>
      </w:r>
      <w:r>
        <w:rPr>
          <w:rFonts w:ascii="宋体" w:eastAsia="宋体" w:hAnsi="宋体" w:cs="宋体" w:hint="eastAsia"/>
          <w:b/>
          <w:bCs/>
          <w:color w:val="auto"/>
          <w:sz w:val="21"/>
          <w:szCs w:val="21"/>
        </w:rPr>
        <w:t>出借他人使用所造成的法律后果，由</w:t>
      </w:r>
      <w:r>
        <w:rPr>
          <w:rFonts w:ascii="宋体" w:eastAsia="宋体" w:hAnsi="宋体" w:cs="宋体" w:hint="eastAsia"/>
          <w:b/>
          <w:bCs/>
          <w:color w:val="auto"/>
          <w:sz w:val="21"/>
          <w:szCs w:val="21"/>
          <w:lang w:eastAsia="zh-CN"/>
        </w:rPr>
        <w:t>我</w:t>
      </w:r>
      <w:r>
        <w:rPr>
          <w:rFonts w:ascii="宋体" w:eastAsia="宋体" w:hAnsi="宋体" w:cs="宋体" w:hint="eastAsia"/>
          <w:b/>
          <w:bCs/>
          <w:color w:val="auto"/>
          <w:sz w:val="21"/>
          <w:szCs w:val="21"/>
          <w:lang w:val="en-US" w:eastAsia="zh-CN"/>
        </w:rPr>
        <w:t>单位</w:t>
      </w:r>
      <w:r>
        <w:rPr>
          <w:rFonts w:ascii="宋体" w:eastAsia="宋体" w:hAnsi="宋体" w:cs="宋体" w:hint="eastAsia"/>
          <w:b/>
          <w:bCs/>
          <w:color w:val="auto"/>
          <w:sz w:val="21"/>
          <w:szCs w:val="21"/>
        </w:rPr>
        <w:t>自行承担</w:t>
      </w:r>
      <w:r>
        <w:rPr>
          <w:rFonts w:ascii="宋体" w:eastAsia="宋体" w:hAnsi="宋体" w:cs="宋体" w:hint="eastAsia"/>
          <w:color w:val="auto"/>
          <w:sz w:val="21"/>
          <w:szCs w:val="21"/>
        </w:rPr>
        <w:t>。</w:t>
      </w:r>
    </w:p>
    <w:p>
      <w:pPr>
        <w:spacing w:beforeLines="0" w:line="340" w:lineRule="exact"/>
        <w:ind w:firstLine="420" w:firstLineChars="200"/>
        <w:rPr>
          <w:rFonts w:ascii="宋体" w:eastAsia="宋体" w:hAnsi="宋体" w:cs="宋体" w:hint="eastAsia"/>
          <w:b/>
          <w:color w:val="auto"/>
          <w:sz w:val="21"/>
          <w:szCs w:val="21"/>
        </w:rPr>
      </w:pPr>
      <w:r>
        <w:rPr>
          <w:rFonts w:ascii="宋体" w:eastAsia="宋体" w:hAnsi="宋体" w:cs="宋体" w:hint="eastAsia"/>
          <w:b/>
          <w:color w:val="auto"/>
          <w:sz w:val="21"/>
          <w:szCs w:val="21"/>
        </w:rPr>
        <w:t>四、</w:t>
      </w:r>
      <w:r>
        <w:rPr>
          <w:rFonts w:ascii="宋体" w:eastAsia="宋体" w:hAnsi="宋体" w:cs="宋体" w:hint="eastAsia"/>
          <w:b/>
          <w:color w:val="auto"/>
          <w:sz w:val="21"/>
          <w:szCs w:val="21"/>
          <w:lang w:eastAsia="zh-CN"/>
        </w:rPr>
        <w:t>我</w:t>
      </w:r>
      <w:r>
        <w:rPr>
          <w:rFonts w:ascii="宋体" w:eastAsia="宋体" w:hAnsi="宋体" w:cs="宋体" w:hint="eastAsia"/>
          <w:b/>
          <w:color w:val="auto"/>
          <w:sz w:val="21"/>
          <w:szCs w:val="21"/>
          <w:lang w:val="en-US" w:eastAsia="zh-CN"/>
        </w:rPr>
        <w:t>单位</w:t>
      </w:r>
      <w:r>
        <w:rPr>
          <w:rFonts w:ascii="宋体" w:eastAsia="宋体" w:hAnsi="宋体" w:cs="宋体" w:hint="eastAsia"/>
          <w:b/>
          <w:color w:val="auto"/>
          <w:sz w:val="21"/>
          <w:szCs w:val="21"/>
        </w:rPr>
        <w:t>已充分知悉政府采购违法、违规行为的法律</w:t>
      </w:r>
      <w:r>
        <w:rPr>
          <w:rFonts w:ascii="宋体" w:eastAsia="宋体" w:hAnsi="宋体" w:cs="宋体" w:hint="eastAsia"/>
          <w:b/>
          <w:color w:val="auto"/>
          <w:sz w:val="21"/>
          <w:szCs w:val="21"/>
          <w:highlight w:val="none"/>
        </w:rPr>
        <w:t>后果。</w:t>
      </w:r>
    </w:p>
    <w:p>
      <w:pPr>
        <w:spacing w:beforeLines="0" w:line="340" w:lineRule="exact"/>
        <w:ind w:firstLine="420" w:firstLineChars="200"/>
        <w:rPr>
          <w:rFonts w:ascii="宋体" w:eastAsia="宋体" w:hAnsi="宋体" w:cs="宋体" w:hint="eastAsia"/>
          <w:color w:val="auto"/>
          <w:sz w:val="21"/>
          <w:szCs w:val="21"/>
          <w:highlight w:val="none"/>
        </w:rPr>
      </w:pPr>
      <w:r>
        <w:rPr>
          <w:rFonts w:ascii="宋体" w:eastAsia="宋体" w:hAnsi="宋体" w:cs="宋体" w:hint="eastAsia"/>
          <w:color w:val="auto"/>
          <w:sz w:val="21"/>
          <w:szCs w:val="21"/>
        </w:rPr>
        <w:t>经查实，若</w:t>
      </w:r>
      <w:r>
        <w:rPr>
          <w:rFonts w:ascii="宋体" w:eastAsia="宋体" w:hAnsi="宋体" w:cs="宋体" w:hint="eastAsia"/>
          <w:color w:val="auto"/>
          <w:sz w:val="21"/>
          <w:szCs w:val="21"/>
          <w:lang w:eastAsia="zh-CN"/>
        </w:rPr>
        <w:t>我</w:t>
      </w:r>
      <w:r>
        <w:rPr>
          <w:rFonts w:ascii="宋体" w:eastAsia="宋体" w:hAnsi="宋体" w:cs="宋体" w:hint="eastAsia"/>
          <w:color w:val="auto"/>
          <w:sz w:val="21"/>
          <w:szCs w:val="21"/>
          <w:lang w:val="en-US" w:eastAsia="zh-CN"/>
        </w:rPr>
        <w:t>单位</w:t>
      </w:r>
      <w:r>
        <w:rPr>
          <w:rFonts w:ascii="宋体" w:eastAsia="宋体" w:hAnsi="宋体" w:cs="宋体" w:hint="eastAsia"/>
          <w:color w:val="auto"/>
          <w:sz w:val="21"/>
          <w:szCs w:val="21"/>
        </w:rPr>
        <w:t>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w:t>
      </w:r>
      <w:r>
        <w:rPr>
          <w:rFonts w:ascii="宋体" w:eastAsia="宋体" w:hAnsi="宋体" w:cs="宋体" w:hint="eastAsia"/>
          <w:color w:val="auto"/>
          <w:sz w:val="21"/>
          <w:szCs w:val="21"/>
          <w:highlight w:val="none"/>
        </w:rPr>
        <w:t>分之二十以上千分之三十以下罚款，由市场监管部门依法吊销营业执照。</w:t>
      </w:r>
    </w:p>
    <w:p>
      <w:pPr>
        <w:spacing w:beforeLines="0" w:line="340" w:lineRule="exact"/>
        <w:ind w:firstLine="420" w:firstLineChars="200"/>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以下文字请投标供应商抄写并确认：“</w:t>
      </w:r>
      <w:r>
        <w:rPr>
          <w:rFonts w:ascii="宋体" w:eastAsia="宋体" w:hAnsi="宋体" w:cs="宋体" w:hint="eastAsia"/>
          <w:color w:val="auto"/>
          <w:sz w:val="21"/>
          <w:szCs w:val="21"/>
          <w:highlight w:val="none"/>
          <w:lang w:eastAsia="zh-CN"/>
        </w:rPr>
        <w:t>我</w:t>
      </w:r>
      <w:r>
        <w:rPr>
          <w:rFonts w:ascii="宋体" w:eastAsia="宋体" w:hAnsi="宋体" w:cs="宋体" w:hint="eastAsia"/>
          <w:color w:val="auto"/>
          <w:sz w:val="21"/>
          <w:szCs w:val="21"/>
          <w:lang w:val="en-US" w:eastAsia="zh-CN"/>
        </w:rPr>
        <w:t>单位</w:t>
      </w:r>
      <w:r>
        <w:rPr>
          <w:rFonts w:ascii="宋体" w:eastAsia="宋体" w:hAnsi="宋体" w:cs="宋体" w:hint="eastAsia"/>
          <w:color w:val="auto"/>
          <w:sz w:val="21"/>
          <w:szCs w:val="21"/>
          <w:highlight w:val="none"/>
        </w:rPr>
        <w:t>已仔细阅读《政府采购违法行为风险知悉确认书》，充分知悉违法行为的法律后果，并承诺将严谨、诚信、依法依规参与政府采购活动”。</w:t>
      </w:r>
    </w:p>
    <w:tbl>
      <w:tblPr>
        <w:tblStyle w:val="14"/>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
      <w:tblGrid>
        <w:gridCol w:w="8529"/>
      </w:tblGrid>
      <w:tr>
        <w:tblPrEx>
          <w:tblW w:w="8529" w:type="dxa"/>
          <w:tblInd w:w="0" w:type="dxa"/>
          <w:tblBorders>
            <w:top w:val="nil"/>
            <w:left w:val="nil"/>
            <w:bottom w:val="single" w:sz="4" w:space="0" w:color="auto"/>
            <w:right w:val="nil"/>
            <w:insideH w:val="nil"/>
            <w:insideV w:val="nil"/>
          </w:tblBorders>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 w:val="21"/>
                <w:szCs w:val="21"/>
                <w:highlight w:val="none"/>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 w:val="21"/>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 w:val="21"/>
                <w:szCs w:val="21"/>
              </w:rPr>
            </w:pPr>
          </w:p>
        </w:tc>
      </w:tr>
      <w:tr>
        <w:tblPrEx>
          <w:tblW w:w="8529" w:type="dxa"/>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noWrap w:val="0"/>
            <w:vAlign w:val="top"/>
          </w:tcPr>
          <w:p>
            <w:pPr>
              <w:autoSpaceDE w:val="0"/>
              <w:autoSpaceDN w:val="0"/>
              <w:spacing w:beforeLines="0" w:line="340" w:lineRule="exact"/>
              <w:ind w:firstLine="1866"/>
              <w:rPr>
                <w:rFonts w:ascii="宋体" w:eastAsia="宋体" w:hAnsi="宋体" w:cs="宋体" w:hint="eastAsia"/>
                <w:color w:val="auto"/>
                <w:spacing w:val="-4"/>
                <w:kern w:val="0"/>
                <w:sz w:val="21"/>
                <w:szCs w:val="21"/>
              </w:rPr>
            </w:pPr>
          </w:p>
        </w:tc>
      </w:tr>
    </w:tbl>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 w:val="21"/>
          <w:szCs w:val="21"/>
        </w:rPr>
      </w:pPr>
    </w:p>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 w:val="21"/>
          <w:szCs w:val="21"/>
          <w:u w:val="single"/>
        </w:rPr>
      </w:pPr>
      <w:r>
        <w:rPr>
          <w:rFonts w:ascii="宋体" w:eastAsia="宋体" w:hAnsi="宋体" w:cs="宋体" w:hint="eastAsia"/>
          <w:color w:val="auto"/>
          <w:spacing w:val="-4"/>
          <w:kern w:val="0"/>
          <w:sz w:val="21"/>
          <w:szCs w:val="21"/>
          <w:lang w:eastAsia="zh-CN"/>
        </w:rPr>
        <w:t>单位</w:t>
      </w:r>
      <w:r>
        <w:rPr>
          <w:rFonts w:ascii="宋体" w:eastAsia="宋体" w:hAnsi="宋体" w:cs="宋体" w:hint="eastAsia"/>
          <w:color w:val="auto"/>
          <w:spacing w:val="-4"/>
          <w:kern w:val="0"/>
          <w:sz w:val="21"/>
          <w:szCs w:val="21"/>
        </w:rPr>
        <w:t>负责人签名：</w:t>
      </w:r>
      <w:r>
        <w:rPr>
          <w:rFonts w:ascii="宋体" w:eastAsia="宋体" w:hAnsi="宋体" w:cs="宋体" w:hint="eastAsia"/>
          <w:color w:val="auto"/>
          <w:spacing w:val="-4"/>
          <w:kern w:val="0"/>
          <w:sz w:val="21"/>
          <w:szCs w:val="21"/>
          <w:u w:val="single"/>
        </w:rPr>
        <w:t xml:space="preserve">              </w:t>
      </w:r>
    </w:p>
    <w:p>
      <w:pPr>
        <w:widowControl/>
        <w:wordWrap w:val="0"/>
        <w:autoSpaceDE w:val="0"/>
        <w:autoSpaceDN w:val="0"/>
        <w:spacing w:beforeLines="0" w:line="340" w:lineRule="exact"/>
        <w:ind w:right="808" w:firstLine="420" w:firstLineChars="200"/>
        <w:jc w:val="center"/>
        <w:rPr>
          <w:rFonts w:ascii="宋体" w:eastAsia="宋体" w:hAnsi="宋体" w:cs="宋体" w:hint="eastAsia"/>
          <w:color w:val="auto"/>
          <w:spacing w:val="-4"/>
          <w:kern w:val="0"/>
          <w:sz w:val="21"/>
          <w:szCs w:val="21"/>
          <w:u w:val="single"/>
        </w:rPr>
      </w:pPr>
      <w:r>
        <w:rPr>
          <w:rFonts w:ascii="宋体" w:eastAsia="宋体" w:hAnsi="宋体" w:cs="宋体" w:hint="eastAsia"/>
          <w:color w:val="auto"/>
          <w:spacing w:val="-4"/>
          <w:kern w:val="0"/>
          <w:sz w:val="21"/>
          <w:szCs w:val="21"/>
          <w:lang w:val="en-US" w:eastAsia="zh-CN"/>
        </w:rPr>
        <w:t xml:space="preserve">                                  </w:t>
      </w:r>
      <w:r>
        <w:rPr>
          <w:rFonts w:ascii="宋体" w:eastAsia="宋体" w:hAnsi="宋体" w:cs="宋体" w:hint="eastAsia"/>
          <w:color w:val="auto"/>
          <w:spacing w:val="-4"/>
          <w:kern w:val="0"/>
          <w:sz w:val="21"/>
          <w:szCs w:val="21"/>
          <w:lang w:eastAsia="zh-CN"/>
        </w:rPr>
        <w:t>（加盖单位</w:t>
      </w:r>
      <w:r>
        <w:rPr>
          <w:rFonts w:ascii="宋体" w:eastAsia="宋体" w:hAnsi="宋体" w:cs="宋体" w:hint="eastAsia"/>
          <w:color w:val="auto"/>
          <w:spacing w:val="-4"/>
          <w:kern w:val="0"/>
          <w:sz w:val="21"/>
          <w:szCs w:val="21"/>
        </w:rPr>
        <w:t>公章</w:t>
      </w:r>
      <w:r>
        <w:rPr>
          <w:rFonts w:ascii="宋体" w:eastAsia="宋体" w:hAnsi="宋体" w:cs="宋体" w:hint="eastAsia"/>
          <w:color w:val="auto"/>
          <w:spacing w:val="-4"/>
          <w:kern w:val="0"/>
          <w:sz w:val="21"/>
          <w:szCs w:val="21"/>
          <w:lang w:eastAsia="zh-CN"/>
        </w:rPr>
        <w:t>）</w:t>
      </w:r>
    </w:p>
    <w:p>
      <w:pPr>
        <w:widowControl/>
        <w:wordWrap w:val="0"/>
        <w:autoSpaceDE w:val="0"/>
        <w:autoSpaceDN w:val="0"/>
        <w:spacing w:beforeLines="0" w:line="340" w:lineRule="exact"/>
        <w:ind w:right="808" w:firstLine="420" w:firstLineChars="200"/>
        <w:jc w:val="right"/>
        <w:rPr>
          <w:rFonts w:ascii="宋体" w:eastAsia="宋体" w:hAnsi="宋体" w:cs="宋体" w:hint="eastAsia"/>
          <w:color w:val="auto"/>
          <w:spacing w:val="-4"/>
          <w:kern w:val="0"/>
          <w:sz w:val="21"/>
          <w:szCs w:val="21"/>
          <w:u w:val="single"/>
        </w:rPr>
      </w:pPr>
      <w:r>
        <w:rPr>
          <w:rFonts w:ascii="宋体" w:eastAsia="宋体" w:hAnsi="宋体" w:cs="宋体" w:hint="eastAsia"/>
          <w:color w:val="auto"/>
          <w:spacing w:val="-4"/>
          <w:kern w:val="0"/>
          <w:sz w:val="21"/>
          <w:szCs w:val="21"/>
        </w:rPr>
        <w:t xml:space="preserve">     日期：</w:t>
      </w:r>
      <w:r>
        <w:rPr>
          <w:rFonts w:ascii="宋体" w:eastAsia="宋体" w:hAnsi="宋体" w:cs="宋体" w:hint="eastAsia"/>
          <w:color w:val="auto"/>
          <w:spacing w:val="-4"/>
          <w:kern w:val="0"/>
          <w:sz w:val="21"/>
          <w:szCs w:val="21"/>
          <w:u w:val="single"/>
        </w:rPr>
        <w:t xml:space="preserve">              </w:t>
      </w:r>
    </w:p>
    <w:p>
      <w:pPr>
        <w:widowControl/>
        <w:autoSpaceDE w:val="0"/>
        <w:autoSpaceDN w:val="0"/>
        <w:spacing w:beforeLines="0" w:line="340" w:lineRule="exact"/>
        <w:ind w:firstLine="420" w:firstLineChars="200"/>
        <w:jc w:val="left"/>
        <w:rPr>
          <w:rFonts w:ascii="宋体" w:eastAsia="宋体" w:hAnsi="宋体" w:cs="宋体" w:hint="eastAsia"/>
          <w:b/>
          <w:bCs/>
          <w:color w:val="auto"/>
          <w:spacing w:val="-4"/>
          <w:kern w:val="0"/>
          <w:sz w:val="21"/>
          <w:szCs w:val="21"/>
        </w:rPr>
      </w:pPr>
    </w:p>
    <w:p>
      <w:pPr>
        <w:keepNext w:val="0"/>
        <w:keepLines w:val="0"/>
        <w:pageBreakBefore w:val="0"/>
        <w:widowControl/>
        <w:suppressLineNumbers w:val="0"/>
        <w:kinsoku/>
        <w:wordWrap/>
        <w:overflowPunct/>
        <w:topLinePunct w:val="0"/>
        <w:autoSpaceDE w:val="0"/>
        <w:autoSpaceDN w:val="0"/>
        <w:bidi w:val="0"/>
        <w:adjustRightInd/>
        <w:snapToGrid/>
        <w:spacing w:beforeLines="0" w:line="340" w:lineRule="exact"/>
        <w:ind w:firstLine="420" w:firstLineChars="200"/>
        <w:jc w:val="left"/>
        <w:textAlignment w:val="auto"/>
        <w:rPr>
          <w:rFonts w:ascii="宋体" w:eastAsia="宋体" w:hAnsi="宋体" w:cs="宋体" w:hint="eastAsia"/>
          <w:color w:val="auto"/>
          <w:kern w:val="0"/>
          <w:sz w:val="21"/>
          <w:szCs w:val="21"/>
          <w:lang w:val="en-US" w:eastAsia="zh-CN"/>
        </w:rPr>
      </w:pPr>
      <w:r>
        <w:rPr>
          <w:rFonts w:ascii="宋体" w:eastAsia="宋体" w:hAnsi="宋体" w:cs="宋体" w:hint="eastAsia"/>
          <w:b/>
          <w:bCs/>
          <w:color w:val="auto"/>
          <w:spacing w:val="-4"/>
          <w:kern w:val="0"/>
          <w:sz w:val="21"/>
          <w:szCs w:val="21"/>
        </w:rPr>
        <w:t>注：</w:t>
      </w:r>
      <w:r>
        <w:rPr>
          <w:rFonts w:ascii="宋体" w:eastAsia="宋体" w:hAnsi="宋体" w:cs="宋体" w:hint="eastAsia"/>
          <w:b/>
          <w:bCs/>
          <w:color w:val="auto"/>
          <w:spacing w:val="-4"/>
          <w:kern w:val="0"/>
          <w:sz w:val="21"/>
          <w:szCs w:val="21"/>
          <w:lang w:eastAsia="zh-CN"/>
        </w:rPr>
        <w:t>《</w:t>
      </w:r>
      <w:r>
        <w:rPr>
          <w:rFonts w:ascii="宋体" w:eastAsia="宋体" w:hAnsi="宋体" w:cs="宋体" w:hint="eastAsia"/>
          <w:b/>
          <w:bCs/>
          <w:color w:val="auto"/>
          <w:spacing w:val="-4"/>
          <w:kern w:val="0"/>
          <w:sz w:val="21"/>
          <w:szCs w:val="21"/>
          <w:lang w:val="en-US" w:eastAsia="zh-CN"/>
        </w:rPr>
        <w:t>政府采购违法行为风险知悉确认书</w:t>
      </w:r>
      <w:r>
        <w:rPr>
          <w:rFonts w:ascii="宋体" w:eastAsia="宋体" w:hAnsi="宋体" w:cs="宋体" w:hint="eastAsia"/>
          <w:b/>
          <w:bCs/>
          <w:color w:val="auto"/>
          <w:spacing w:val="-4"/>
          <w:kern w:val="0"/>
          <w:sz w:val="21"/>
          <w:szCs w:val="21"/>
          <w:lang w:eastAsia="zh-CN"/>
        </w:rPr>
        <w:t>》需由</w:t>
      </w:r>
      <w:r>
        <w:rPr>
          <w:rFonts w:ascii="宋体" w:eastAsia="宋体" w:hAnsi="宋体" w:cs="宋体" w:hint="eastAsia"/>
          <w:b/>
          <w:bCs/>
          <w:color w:val="auto"/>
          <w:spacing w:val="-4"/>
          <w:kern w:val="0"/>
          <w:sz w:val="21"/>
          <w:szCs w:val="21"/>
          <w:highlight w:val="none"/>
        </w:rPr>
        <w:t>投标供应商负责人签字并加盖单位公章后，扫描上传至投标文件一并提交。</w:t>
      </w:r>
    </w:p>
    <w:p>
      <w:pPr>
        <w:spacing w:line="360" w:lineRule="auto"/>
        <w:ind w:firstLine="420" w:firstLineChars="200"/>
        <w:rPr>
          <w:rFonts w:ascii="宋体" w:hAnsi="宋体"/>
          <w:b/>
          <w:bCs/>
          <w:szCs w:val="21"/>
        </w:rPr>
      </w:pPr>
    </w:p>
    <w:p>
      <w:pPr>
        <w:rPr>
          <w:rFonts w:ascii="宋体" w:hAnsi="宋体"/>
          <w:szCs w:val="21"/>
        </w:rPr>
      </w:pPr>
      <w:r>
        <w:rPr>
          <w:rFonts w:hint="eastAsia"/>
          <w:szCs w:val="21"/>
          <w:u w:val="single"/>
        </w:rPr>
        <w:t>（备注：如联合体投标，仅需加盖牵头人的公章）</w:t>
      </w:r>
    </w:p>
    <w:p>
      <w:pPr>
        <w:rPr>
          <w:rFonts w:ascii="黑体" w:eastAsia="黑体" w:hAnsi="宋体" w:cs="Times New Roman" w:hint="eastAsia"/>
          <w:bCs/>
          <w:kern w:val="0"/>
          <w:sz w:val="24"/>
          <w:szCs w:val="32"/>
          <w:lang w:eastAsia="zh-CN"/>
        </w:rPr>
      </w:pPr>
      <w:r>
        <w:rPr>
          <w:rFonts w:ascii="黑体" w:eastAsia="黑体" w:hAnsi="宋体" w:cs="Times New Roman" w:hint="eastAsia"/>
          <w:bCs/>
          <w:kern w:val="0"/>
          <w:sz w:val="24"/>
          <w:szCs w:val="32"/>
          <w:lang w:eastAsia="zh-CN"/>
        </w:rPr>
        <w:br w:type="page"/>
      </w:r>
    </w:p>
    <w:p>
      <w:pPr>
        <w:keepNext/>
        <w:keepLines/>
        <w:spacing w:before="260" w:after="260"/>
        <w:jc w:val="center"/>
        <w:outlineLvl w:val="2"/>
        <w:rPr>
          <w:rFonts w:ascii="黑体" w:eastAsia="黑体" w:hAnsi="宋体" w:cs="Times New Roman" w:hint="eastAsia"/>
          <w:bCs/>
          <w:kern w:val="0"/>
          <w:sz w:val="24"/>
          <w:szCs w:val="32"/>
          <w:lang w:eastAsia="zh-CN"/>
        </w:rPr>
      </w:pPr>
      <w:r>
        <w:rPr>
          <w:rFonts w:ascii="黑体" w:eastAsia="黑体" w:hAnsi="宋体" w:cs="Times New Roman" w:hint="eastAsia"/>
          <w:bCs/>
          <w:kern w:val="0"/>
          <w:sz w:val="24"/>
          <w:szCs w:val="32"/>
          <w:lang w:eastAsia="zh-CN"/>
        </w:rPr>
        <w:t>供应商基本情况表</w:t>
      </w:r>
    </w:p>
    <w:p>
      <w:pPr>
        <w:spacing w:before="157" w:line="198" w:lineRule="auto"/>
        <w:ind w:left="126" w:right="-21" w:rightChars="-10"/>
        <w:jc w:val="center"/>
        <w:rPr>
          <w:rFonts w:ascii="宋体" w:eastAsia="宋体" w:hAnsi="宋体" w:cs="宋体" w:hint="eastAsia"/>
          <w:sz w:val="21"/>
          <w:szCs w:val="21"/>
        </w:rPr>
      </w:pPr>
      <w:r>
        <w:rPr>
          <w:rFonts w:ascii="宋体" w:eastAsia="宋体" w:hAnsi="宋体" w:cs="宋体" w:hint="eastAsia"/>
          <w:sz w:val="21"/>
          <w:szCs w:val="21"/>
        </w:rPr>
        <w:t>填表单位：</w:t>
      </w:r>
      <w:r>
        <w:rPr>
          <w:rFonts w:ascii="宋体" w:eastAsia="宋体" w:hAnsi="宋体" w:cs="宋体" w:hint="eastAsia"/>
          <w:sz w:val="21"/>
          <w:szCs w:val="21"/>
          <w:lang w:val="en-US" w:eastAsia="zh-CN"/>
        </w:rPr>
        <w:t xml:space="preserve">       </w:t>
      </w:r>
      <w:r>
        <w:rPr>
          <w:rFonts w:ascii="宋体" w:eastAsia="宋体" w:hAnsi="宋体" w:cs="宋体" w:hint="eastAsia"/>
          <w:spacing w:val="4"/>
          <w:sz w:val="21"/>
          <w:szCs w:val="21"/>
        </w:rPr>
        <w:t xml:space="preserve">       </w:t>
      </w:r>
      <w:r>
        <w:rPr>
          <w:rFonts w:ascii="宋体" w:eastAsia="宋体" w:hAnsi="宋体" w:cs="宋体" w:hint="eastAsia"/>
          <w:spacing w:val="4"/>
          <w:sz w:val="21"/>
          <w:szCs w:val="21"/>
          <w:lang w:val="en-US" w:eastAsia="zh-CN"/>
        </w:rPr>
        <w:t xml:space="preserve">      </w:t>
      </w:r>
      <w:r>
        <w:rPr>
          <w:rFonts w:ascii="宋体" w:eastAsia="宋体" w:hAnsi="宋体" w:cs="宋体" w:hint="eastAsia"/>
          <w:sz w:val="21"/>
          <w:szCs w:val="21"/>
        </w:rPr>
        <w:t>填表日期：</w:t>
      </w:r>
      <w:r>
        <w:rPr>
          <w:rFonts w:ascii="宋体" w:eastAsia="宋体" w:hAnsi="宋体" w:cs="宋体" w:hint="eastAsia"/>
          <w:spacing w:val="13"/>
          <w:sz w:val="21"/>
          <w:szCs w:val="21"/>
        </w:rPr>
        <w:t xml:space="preserve">   </w:t>
      </w:r>
      <w:r>
        <w:rPr>
          <w:rFonts w:ascii="宋体" w:eastAsia="宋体" w:hAnsi="宋体" w:cs="宋体" w:hint="eastAsia"/>
          <w:sz w:val="21"/>
          <w:szCs w:val="21"/>
        </w:rPr>
        <w:t xml:space="preserve">年   月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日</w:t>
      </w:r>
    </w:p>
    <w:p>
      <w:pPr>
        <w:spacing w:line="75" w:lineRule="exact"/>
        <w:rPr>
          <w:rFonts w:ascii="宋体" w:eastAsia="宋体" w:hAnsi="宋体" w:cs="宋体" w:hint="eastAsia"/>
          <w:sz w:val="21"/>
          <w:szCs w:val="21"/>
        </w:rPr>
      </w:pPr>
    </w:p>
    <w:tbl>
      <w:tblPr>
        <w:tblStyle w:val="TableNormal0"/>
        <w:tblW w:w="894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Pr>
      <w:tblGrid>
        <w:gridCol w:w="740"/>
        <w:gridCol w:w="676"/>
        <w:gridCol w:w="1605"/>
        <w:gridCol w:w="946"/>
        <w:gridCol w:w="791"/>
        <w:gridCol w:w="1199"/>
        <w:gridCol w:w="1499"/>
        <w:gridCol w:w="1489"/>
      </w:tblGrid>
      <w:tr>
        <w:tblPrEx>
          <w:tblW w:w="894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PrEx>
        <w:trPr>
          <w:trHeight w:val="633"/>
          <w:jc w:val="center"/>
        </w:trPr>
        <w:tc>
          <w:tcPr>
            <w:tcW w:w="1416" w:type="dxa"/>
            <w:gridSpan w:val="2"/>
            <w:vAlign w:val="top"/>
          </w:tcPr>
          <w:p>
            <w:pPr>
              <w:pStyle w:val="TableText"/>
              <w:spacing w:before="180" w:line="203" w:lineRule="auto"/>
              <w:ind w:left="359"/>
              <w:rPr>
                <w:rFonts w:ascii="宋体" w:eastAsia="宋体" w:hAnsi="宋体" w:cs="宋体" w:hint="eastAsia"/>
                <w:sz w:val="21"/>
                <w:szCs w:val="21"/>
              </w:rPr>
            </w:pPr>
            <w:r>
              <w:rPr>
                <w:rFonts w:ascii="宋体" w:eastAsia="宋体" w:hAnsi="宋体" w:cs="宋体" w:hint="eastAsia"/>
                <w:spacing w:val="-4"/>
                <w:sz w:val="21"/>
                <w:szCs w:val="21"/>
              </w:rPr>
              <w:t>采购人</w:t>
            </w:r>
          </w:p>
        </w:tc>
        <w:tc>
          <w:tcPr>
            <w:tcW w:w="2551" w:type="dxa"/>
            <w:gridSpan w:val="2"/>
            <w:vAlign w:val="center"/>
          </w:tcPr>
          <w:p>
            <w:pPr>
              <w:jc w:val="center"/>
              <w:rPr>
                <w:rFonts w:ascii="宋体" w:eastAsia="宋体" w:hAnsi="宋体" w:cs="宋体" w:hint="eastAsia"/>
                <w:sz w:val="21"/>
                <w:szCs w:val="21"/>
              </w:rPr>
            </w:pPr>
          </w:p>
        </w:tc>
        <w:tc>
          <w:tcPr>
            <w:tcW w:w="1990" w:type="dxa"/>
            <w:gridSpan w:val="2"/>
            <w:vAlign w:val="top"/>
          </w:tcPr>
          <w:p>
            <w:pPr>
              <w:pStyle w:val="TableText"/>
              <w:spacing w:before="181" w:line="201" w:lineRule="auto"/>
              <w:ind w:left="527"/>
              <w:rPr>
                <w:rFonts w:ascii="宋体" w:eastAsia="宋体" w:hAnsi="宋体" w:cs="宋体" w:hint="eastAsia"/>
                <w:sz w:val="21"/>
                <w:szCs w:val="21"/>
              </w:rPr>
            </w:pPr>
            <w:r>
              <w:rPr>
                <w:rFonts w:ascii="宋体" w:eastAsia="宋体" w:hAnsi="宋体" w:cs="宋体" w:hint="eastAsia"/>
                <w:spacing w:val="-3"/>
                <w:sz w:val="21"/>
                <w:szCs w:val="21"/>
              </w:rPr>
              <w:t>项目名称</w:t>
            </w:r>
          </w:p>
        </w:tc>
        <w:tc>
          <w:tcPr>
            <w:tcW w:w="2988" w:type="dxa"/>
            <w:gridSpan w:val="2"/>
            <w:vAlign w:val="center"/>
          </w:tcPr>
          <w:p>
            <w:pPr>
              <w:jc w:val="center"/>
              <w:rPr>
                <w:rFonts w:ascii="宋体" w:eastAsia="宋体" w:hAnsi="宋体" w:cs="宋体" w:hint="eastAsia"/>
                <w:sz w:val="21"/>
                <w:szCs w:val="21"/>
              </w:rPr>
            </w:pPr>
          </w:p>
        </w:tc>
      </w:tr>
      <w:tr>
        <w:tblPrEx>
          <w:tblW w:w="8945" w:type="dxa"/>
          <w:jc w:val="center"/>
          <w:tblLayout w:type="fixed"/>
          <w:tblCellMar>
            <w:top w:w="0" w:type="dxa"/>
            <w:left w:w="0" w:type="dxa"/>
            <w:bottom w:w="0" w:type="dxa"/>
            <w:right w:w="0" w:type="dxa"/>
          </w:tblCellMar>
        </w:tblPrEx>
        <w:trPr>
          <w:trHeight w:val="706"/>
          <w:jc w:val="center"/>
        </w:trPr>
        <w:tc>
          <w:tcPr>
            <w:tcW w:w="1416" w:type="dxa"/>
            <w:gridSpan w:val="2"/>
            <w:vAlign w:val="top"/>
          </w:tcPr>
          <w:p>
            <w:pPr>
              <w:pStyle w:val="TableText"/>
              <w:keepNext w:val="0"/>
              <w:keepLines w:val="0"/>
              <w:pageBreakBefore w:val="0"/>
              <w:widowControl/>
              <w:tabs>
                <w:tab w:val="left" w:pos="1260"/>
              </w:tabs>
              <w:kinsoku w:val="0"/>
              <w:wordWrap/>
              <w:overflowPunct/>
              <w:topLinePunct w:val="0"/>
              <w:autoSpaceDE w:val="0"/>
              <w:autoSpaceDN w:val="0"/>
              <w:bidi w:val="0"/>
              <w:adjustRightInd w:val="0"/>
              <w:snapToGrid w:val="0"/>
              <w:spacing w:before="40" w:line="360" w:lineRule="exact"/>
              <w:ind w:left="6" w:right="105" w:hanging="6" w:leftChars="0" w:firstLineChars="0"/>
              <w:jc w:val="center"/>
              <w:textAlignment w:val="baseline"/>
              <w:rPr>
                <w:rFonts w:ascii="宋体" w:eastAsia="宋体" w:hAnsi="宋体" w:cs="宋体" w:hint="eastAsia"/>
                <w:sz w:val="21"/>
                <w:szCs w:val="21"/>
              </w:rPr>
            </w:pPr>
            <w:r>
              <w:rPr>
                <w:rFonts w:ascii="宋体" w:eastAsia="宋体" w:hAnsi="宋体" w:cs="宋体" w:hint="eastAsia"/>
                <w:spacing w:val="-4"/>
                <w:sz w:val="21"/>
                <w:szCs w:val="21"/>
              </w:rPr>
              <w:t>投标（响</w:t>
            </w:r>
            <w:r>
              <w:rPr>
                <w:rFonts w:ascii="宋体" w:eastAsia="宋体" w:hAnsi="宋体" w:cs="宋体" w:hint="eastAsia"/>
                <w:spacing w:val="-5"/>
                <w:sz w:val="21"/>
                <w:szCs w:val="21"/>
              </w:rPr>
              <w:t>应）供应商</w:t>
            </w:r>
          </w:p>
        </w:tc>
        <w:tc>
          <w:tcPr>
            <w:tcW w:w="2551"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宋体" w:eastAsia="宋体" w:hAnsi="宋体" w:cs="宋体" w:hint="eastAsia"/>
                <w:sz w:val="21"/>
                <w:szCs w:val="21"/>
              </w:rPr>
            </w:pPr>
          </w:p>
        </w:tc>
        <w:tc>
          <w:tcPr>
            <w:tcW w:w="1990" w:type="dxa"/>
            <w:gridSpan w:val="2"/>
            <w:vAlign w:val="top"/>
          </w:tcPr>
          <w:p>
            <w:pPr>
              <w:pStyle w:val="TableText"/>
              <w:keepNext w:val="0"/>
              <w:keepLines w:val="0"/>
              <w:pageBreakBefore w:val="0"/>
              <w:widowControl/>
              <w:kinsoku w:val="0"/>
              <w:wordWrap/>
              <w:overflowPunct/>
              <w:topLinePunct w:val="0"/>
              <w:autoSpaceDE w:val="0"/>
              <w:autoSpaceDN w:val="0"/>
              <w:bidi w:val="0"/>
              <w:adjustRightInd w:val="0"/>
              <w:snapToGrid w:val="0"/>
              <w:spacing w:before="40" w:line="360" w:lineRule="exact"/>
              <w:ind w:left="527" w:right="152" w:hanging="362"/>
              <w:textAlignment w:val="baseline"/>
              <w:rPr>
                <w:rFonts w:ascii="宋体" w:eastAsia="宋体" w:hAnsi="宋体" w:cs="宋体" w:hint="eastAsia"/>
                <w:sz w:val="21"/>
                <w:szCs w:val="21"/>
              </w:rPr>
            </w:pPr>
            <w:r>
              <w:rPr>
                <w:rFonts w:ascii="宋体" w:eastAsia="宋体" w:hAnsi="宋体" w:cs="宋体" w:hint="eastAsia"/>
                <w:spacing w:val="-2"/>
                <w:sz w:val="21"/>
                <w:szCs w:val="21"/>
              </w:rPr>
              <w:t>供应商统一社会</w:t>
            </w:r>
            <w:r>
              <w:rPr>
                <w:rFonts w:ascii="宋体" w:eastAsia="宋体" w:hAnsi="宋体" w:cs="宋体" w:hint="eastAsia"/>
                <w:sz w:val="21"/>
                <w:szCs w:val="21"/>
              </w:rPr>
              <w:t xml:space="preserve"> </w:t>
            </w:r>
            <w:r>
              <w:rPr>
                <w:rFonts w:ascii="宋体" w:eastAsia="宋体" w:hAnsi="宋体" w:cs="宋体" w:hint="eastAsia"/>
                <w:spacing w:val="-3"/>
                <w:sz w:val="21"/>
                <w:szCs w:val="21"/>
              </w:rPr>
              <w:t>信用代码</w:t>
            </w:r>
          </w:p>
        </w:tc>
        <w:tc>
          <w:tcPr>
            <w:tcW w:w="2988"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宋体" w:eastAsia="宋体" w:hAnsi="宋体" w:cs="宋体" w:hint="eastAsia"/>
                <w:sz w:val="21"/>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8945" w:type="dxa"/>
            <w:gridSpan w:val="8"/>
            <w:vAlign w:val="top"/>
          </w:tcPr>
          <w:p>
            <w:pPr>
              <w:pStyle w:val="TableText"/>
              <w:spacing w:before="175" w:line="198" w:lineRule="auto"/>
              <w:ind w:left="2683"/>
              <w:rPr>
                <w:rFonts w:ascii="宋体" w:eastAsia="宋体" w:hAnsi="宋体" w:cs="宋体" w:hint="eastAsia"/>
                <w:sz w:val="21"/>
                <w:szCs w:val="21"/>
              </w:rPr>
            </w:pPr>
            <w:r>
              <w:rPr>
                <w:rFonts w:ascii="宋体" w:eastAsia="宋体" w:hAnsi="宋体" w:cs="宋体" w:hint="eastAsia"/>
                <w:b/>
                <w:bCs/>
                <w:sz w:val="21"/>
                <w:szCs w:val="21"/>
              </w:rPr>
              <w:t>投标（响应）供应商相关人员情况</w:t>
            </w:r>
          </w:p>
        </w:tc>
      </w:tr>
      <w:tr>
        <w:tblPrEx>
          <w:tblW w:w="8945" w:type="dxa"/>
          <w:jc w:val="center"/>
          <w:tblLayout w:type="fixed"/>
          <w:tblCellMar>
            <w:top w:w="0" w:type="dxa"/>
            <w:left w:w="0" w:type="dxa"/>
            <w:bottom w:w="0" w:type="dxa"/>
            <w:right w:w="0" w:type="dxa"/>
          </w:tblCellMar>
        </w:tblPrEx>
        <w:trPr>
          <w:trHeight w:val="705"/>
          <w:jc w:val="center"/>
        </w:trPr>
        <w:tc>
          <w:tcPr>
            <w:tcW w:w="740" w:type="dxa"/>
            <w:vAlign w:val="top"/>
          </w:tcPr>
          <w:p>
            <w:pPr>
              <w:pStyle w:val="TableText"/>
              <w:spacing w:before="217" w:line="202" w:lineRule="auto"/>
              <w:ind w:left="145"/>
              <w:rPr>
                <w:rFonts w:ascii="宋体" w:eastAsia="宋体" w:hAnsi="宋体" w:cs="宋体" w:hint="eastAsia"/>
                <w:sz w:val="21"/>
                <w:szCs w:val="21"/>
              </w:rPr>
            </w:pPr>
            <w:r>
              <w:rPr>
                <w:rFonts w:ascii="宋体" w:eastAsia="宋体" w:hAnsi="宋体" w:cs="宋体" w:hint="eastAsia"/>
                <w:spacing w:val="-5"/>
                <w:sz w:val="21"/>
                <w:szCs w:val="21"/>
              </w:rPr>
              <w:t>序号</w:t>
            </w:r>
          </w:p>
        </w:tc>
        <w:tc>
          <w:tcPr>
            <w:tcW w:w="2281" w:type="dxa"/>
            <w:gridSpan w:val="2"/>
            <w:vAlign w:val="top"/>
          </w:tcPr>
          <w:p>
            <w:pPr>
              <w:pStyle w:val="TableText"/>
              <w:spacing w:before="213" w:line="202" w:lineRule="auto"/>
              <w:ind w:left="916"/>
              <w:rPr>
                <w:rFonts w:ascii="宋体" w:eastAsia="宋体" w:hAnsi="宋体" w:cs="宋体" w:hint="eastAsia"/>
                <w:sz w:val="21"/>
                <w:szCs w:val="21"/>
              </w:rPr>
            </w:pPr>
            <w:r>
              <w:rPr>
                <w:rFonts w:ascii="宋体" w:eastAsia="宋体" w:hAnsi="宋体" w:cs="宋体" w:hint="eastAsia"/>
                <w:spacing w:val="-6"/>
                <w:sz w:val="21"/>
                <w:szCs w:val="21"/>
              </w:rPr>
              <w:t>职务</w:t>
            </w:r>
          </w:p>
        </w:tc>
        <w:tc>
          <w:tcPr>
            <w:tcW w:w="946" w:type="dxa"/>
            <w:vAlign w:val="top"/>
          </w:tcPr>
          <w:p>
            <w:pPr>
              <w:pStyle w:val="TableText"/>
              <w:spacing w:before="213" w:line="203" w:lineRule="auto"/>
              <w:ind w:left="245"/>
              <w:rPr>
                <w:rFonts w:ascii="宋体" w:eastAsia="宋体" w:hAnsi="宋体" w:cs="宋体" w:hint="eastAsia"/>
                <w:sz w:val="21"/>
                <w:szCs w:val="21"/>
              </w:rPr>
            </w:pPr>
            <w:r>
              <w:rPr>
                <w:rFonts w:ascii="宋体" w:eastAsia="宋体" w:hAnsi="宋体" w:cs="宋体" w:hint="eastAsia"/>
                <w:spacing w:val="-4"/>
                <w:sz w:val="21"/>
                <w:szCs w:val="21"/>
              </w:rPr>
              <w:t>姓名</w:t>
            </w:r>
          </w:p>
        </w:tc>
        <w:tc>
          <w:tcPr>
            <w:tcW w:w="1990" w:type="dxa"/>
            <w:gridSpan w:val="2"/>
            <w:vAlign w:val="top"/>
          </w:tcPr>
          <w:p>
            <w:pPr>
              <w:pStyle w:val="TableText"/>
              <w:spacing w:before="214" w:line="203" w:lineRule="auto"/>
              <w:ind w:left="410"/>
              <w:rPr>
                <w:rFonts w:ascii="宋体" w:eastAsia="宋体" w:hAnsi="宋体" w:cs="宋体" w:hint="eastAsia"/>
                <w:sz w:val="21"/>
                <w:szCs w:val="21"/>
              </w:rPr>
            </w:pPr>
            <w:r>
              <w:rPr>
                <w:rFonts w:ascii="宋体" w:eastAsia="宋体" w:hAnsi="宋体" w:cs="宋体" w:hint="eastAsia"/>
                <w:spacing w:val="-3"/>
                <w:sz w:val="21"/>
                <w:szCs w:val="21"/>
              </w:rPr>
              <w:t>身份证号码</w:t>
            </w:r>
          </w:p>
        </w:tc>
        <w:tc>
          <w:tcPr>
            <w:tcW w:w="1499" w:type="dxa"/>
            <w:vAlign w:val="top"/>
          </w:tcPr>
          <w:p>
            <w:pPr>
              <w:pStyle w:val="TableText"/>
              <w:keepNext w:val="0"/>
              <w:keepLines w:val="0"/>
              <w:pageBreakBefore w:val="0"/>
              <w:widowControl/>
              <w:kinsoku w:val="0"/>
              <w:wordWrap/>
              <w:overflowPunct/>
              <w:topLinePunct w:val="0"/>
              <w:autoSpaceDE w:val="0"/>
              <w:autoSpaceDN w:val="0"/>
              <w:bidi w:val="0"/>
              <w:adjustRightInd w:val="0"/>
              <w:snapToGrid w:val="0"/>
              <w:spacing w:before="39" w:line="360" w:lineRule="exact"/>
              <w:ind w:left="288" w:right="266" w:firstLine="5"/>
              <w:textAlignment w:val="baseline"/>
              <w:rPr>
                <w:rFonts w:ascii="宋体" w:eastAsia="宋体" w:hAnsi="宋体" w:cs="宋体" w:hint="eastAsia"/>
                <w:sz w:val="21"/>
                <w:szCs w:val="21"/>
              </w:rPr>
            </w:pPr>
            <w:r>
              <w:rPr>
                <w:rFonts w:ascii="Times New Roman" w:eastAsia="宋体" w:hAnsi="Times New Roman" w:cs="Times New Roman" w:hint="eastAsia"/>
                <w:snapToGrid w:val="0"/>
                <w:kern w:val="0"/>
                <w:sz w:val="21"/>
                <w:szCs w:val="24"/>
                <w:lang w:val="en-US" w:eastAsia="zh-CN" w:bidi="ar-SA"/>
              </w:rPr>
              <w:t>劳动合同 关系单位</w:t>
            </w:r>
          </w:p>
        </w:tc>
        <w:tc>
          <w:tcPr>
            <w:tcW w:w="1489" w:type="dxa"/>
            <w:vAlign w:val="top"/>
          </w:tcPr>
          <w:p>
            <w:pPr>
              <w:pStyle w:val="TableText"/>
              <w:keepNext w:val="0"/>
              <w:keepLines w:val="0"/>
              <w:pageBreakBefore w:val="0"/>
              <w:widowControl/>
              <w:kinsoku w:val="0"/>
              <w:wordWrap/>
              <w:overflowPunct/>
              <w:topLinePunct w:val="0"/>
              <w:autoSpaceDE w:val="0"/>
              <w:autoSpaceDN w:val="0"/>
              <w:bidi w:val="0"/>
              <w:adjustRightInd w:val="0"/>
              <w:snapToGrid w:val="0"/>
              <w:spacing w:before="39" w:line="360" w:lineRule="exact"/>
              <w:ind w:left="271" w:right="262" w:firstLine="8"/>
              <w:textAlignment w:val="baseline"/>
              <w:rPr>
                <w:rFonts w:ascii="宋体" w:eastAsia="宋体" w:hAnsi="宋体" w:cs="宋体" w:hint="eastAsia"/>
                <w:sz w:val="21"/>
                <w:szCs w:val="21"/>
              </w:rPr>
            </w:pPr>
            <w:r>
              <w:rPr>
                <w:rFonts w:ascii="Times New Roman" w:eastAsia="宋体" w:hAnsi="Times New Roman" w:cs="Times New Roman" w:hint="eastAsia"/>
                <w:snapToGrid w:val="0"/>
                <w:kern w:val="0"/>
                <w:sz w:val="21"/>
                <w:szCs w:val="24"/>
                <w:lang w:val="en-US" w:eastAsia="zh-CN" w:bidi="ar-SA"/>
              </w:rPr>
              <w:t>缴纳社会 保险单位</w:t>
            </w:r>
          </w:p>
        </w:tc>
      </w:tr>
      <w:tr>
        <w:tblPrEx>
          <w:tblW w:w="8945" w:type="dxa"/>
          <w:jc w:val="center"/>
          <w:tblLayout w:type="fixed"/>
          <w:tblCellMar>
            <w:top w:w="0" w:type="dxa"/>
            <w:left w:w="0" w:type="dxa"/>
            <w:bottom w:w="0" w:type="dxa"/>
            <w:right w:w="0" w:type="dxa"/>
          </w:tblCellMar>
        </w:tblPrEx>
        <w:trPr>
          <w:trHeight w:val="924"/>
          <w:jc w:val="center"/>
        </w:trPr>
        <w:tc>
          <w:tcPr>
            <w:tcW w:w="740" w:type="dxa"/>
            <w:vAlign w:val="top"/>
          </w:tcPr>
          <w:p>
            <w:pPr>
              <w:spacing w:line="252" w:lineRule="auto"/>
              <w:rPr>
                <w:rFonts w:ascii="宋体" w:eastAsia="宋体" w:hAnsi="宋体" w:cs="宋体" w:hint="eastAsia"/>
                <w:sz w:val="21"/>
                <w:szCs w:val="21"/>
              </w:rPr>
            </w:pPr>
          </w:p>
          <w:p>
            <w:pPr>
              <w:pStyle w:val="TableText"/>
              <w:spacing w:before="103" w:line="169" w:lineRule="auto"/>
              <w:ind w:left="321"/>
              <w:rPr>
                <w:rFonts w:ascii="宋体" w:eastAsia="宋体" w:hAnsi="宋体" w:cs="宋体" w:hint="eastAsia"/>
                <w:sz w:val="21"/>
                <w:szCs w:val="21"/>
              </w:rPr>
            </w:pPr>
            <w:r>
              <w:rPr>
                <w:rFonts w:ascii="宋体" w:eastAsia="宋体" w:hAnsi="宋体" w:cs="宋体" w:hint="eastAsia"/>
                <w:sz w:val="21"/>
                <w:szCs w:val="21"/>
              </w:rPr>
              <w:t>1</w:t>
            </w:r>
          </w:p>
        </w:tc>
        <w:tc>
          <w:tcPr>
            <w:tcW w:w="2281" w:type="dxa"/>
            <w:gridSpan w:val="2"/>
            <w:vAlign w:val="top"/>
          </w:tcPr>
          <w:p>
            <w:pPr>
              <w:pStyle w:val="TableText"/>
              <w:spacing w:before="174" w:line="235" w:lineRule="auto"/>
              <w:ind w:left="240" w:right="116" w:hanging="101"/>
              <w:rPr>
                <w:rFonts w:ascii="宋体" w:eastAsia="宋体" w:hAnsi="宋体" w:cs="宋体" w:hint="eastAsia"/>
                <w:sz w:val="21"/>
                <w:szCs w:val="21"/>
              </w:rPr>
            </w:pPr>
            <w:r>
              <w:rPr>
                <w:rFonts w:ascii="宋体" w:eastAsia="宋体" w:hAnsi="宋体" w:cs="宋体" w:hint="eastAsia"/>
                <w:spacing w:val="-6"/>
                <w:sz w:val="21"/>
                <w:szCs w:val="21"/>
              </w:rPr>
              <w:t>法定代表人/单位负责人/主要经营负责人</w:t>
            </w:r>
          </w:p>
        </w:tc>
        <w:tc>
          <w:tcPr>
            <w:tcW w:w="946" w:type="dxa"/>
            <w:vAlign w:val="center"/>
          </w:tcPr>
          <w:p>
            <w:pPr>
              <w:jc w:val="center"/>
              <w:rPr>
                <w:rFonts w:ascii="宋体" w:eastAsia="宋体" w:hAnsi="宋体" w:cs="宋体" w:hint="eastAsia"/>
                <w:sz w:val="21"/>
                <w:szCs w:val="21"/>
              </w:rPr>
            </w:pPr>
          </w:p>
        </w:tc>
        <w:tc>
          <w:tcPr>
            <w:tcW w:w="1990" w:type="dxa"/>
            <w:gridSpan w:val="2"/>
            <w:vAlign w:val="center"/>
          </w:tcPr>
          <w:p>
            <w:pPr>
              <w:jc w:val="center"/>
              <w:rPr>
                <w:rFonts w:ascii="宋体" w:eastAsia="宋体" w:hAnsi="宋体" w:cs="宋体" w:hint="eastAsia"/>
                <w:sz w:val="21"/>
                <w:szCs w:val="21"/>
              </w:rPr>
            </w:pPr>
          </w:p>
        </w:tc>
        <w:tc>
          <w:tcPr>
            <w:tcW w:w="1499" w:type="dxa"/>
            <w:vAlign w:val="center"/>
          </w:tcPr>
          <w:p>
            <w:pPr>
              <w:jc w:val="center"/>
              <w:rPr>
                <w:rFonts w:ascii="宋体" w:eastAsia="宋体" w:hAnsi="宋体" w:cs="宋体" w:hint="eastAsia"/>
                <w:sz w:val="21"/>
                <w:szCs w:val="21"/>
              </w:rPr>
            </w:pPr>
          </w:p>
        </w:tc>
        <w:tc>
          <w:tcPr>
            <w:tcW w:w="1489" w:type="dxa"/>
            <w:vAlign w:val="center"/>
          </w:tcPr>
          <w:p>
            <w:pPr>
              <w:jc w:val="center"/>
              <w:rPr>
                <w:rFonts w:ascii="宋体" w:eastAsia="宋体" w:hAnsi="宋体" w:cs="宋体" w:hint="eastAsia"/>
                <w:sz w:val="21"/>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vAlign w:val="top"/>
          </w:tcPr>
          <w:p>
            <w:pPr>
              <w:pStyle w:val="TableText"/>
              <w:spacing w:before="211" w:line="168" w:lineRule="auto"/>
              <w:ind w:left="322"/>
              <w:rPr>
                <w:rFonts w:ascii="宋体" w:eastAsia="宋体" w:hAnsi="宋体" w:cs="宋体" w:hint="eastAsia"/>
                <w:sz w:val="21"/>
                <w:szCs w:val="21"/>
              </w:rPr>
            </w:pPr>
            <w:r>
              <w:rPr>
                <w:rFonts w:ascii="宋体" w:eastAsia="宋体" w:hAnsi="宋体" w:cs="宋体" w:hint="eastAsia"/>
                <w:sz w:val="21"/>
                <w:szCs w:val="21"/>
              </w:rPr>
              <w:t>2</w:t>
            </w:r>
          </w:p>
        </w:tc>
        <w:tc>
          <w:tcPr>
            <w:tcW w:w="2281" w:type="dxa"/>
            <w:gridSpan w:val="2"/>
            <w:vAlign w:val="top"/>
          </w:tcPr>
          <w:p>
            <w:pPr>
              <w:pStyle w:val="TableText"/>
              <w:spacing w:before="190" w:line="202" w:lineRule="auto"/>
              <w:ind w:left="161"/>
              <w:rPr>
                <w:rFonts w:ascii="宋体" w:eastAsia="宋体" w:hAnsi="宋体" w:cs="宋体" w:hint="eastAsia"/>
                <w:sz w:val="21"/>
                <w:szCs w:val="21"/>
              </w:rPr>
            </w:pPr>
            <w:r>
              <w:rPr>
                <w:rFonts w:ascii="宋体" w:eastAsia="宋体" w:hAnsi="宋体" w:cs="宋体" w:hint="eastAsia"/>
                <w:spacing w:val="-2"/>
                <w:sz w:val="21"/>
                <w:szCs w:val="21"/>
              </w:rPr>
              <w:t>项目投标授权代表人</w:t>
            </w:r>
          </w:p>
        </w:tc>
        <w:tc>
          <w:tcPr>
            <w:tcW w:w="946" w:type="dxa"/>
            <w:vAlign w:val="center"/>
          </w:tcPr>
          <w:p>
            <w:pPr>
              <w:jc w:val="center"/>
              <w:rPr>
                <w:rFonts w:ascii="宋体" w:eastAsia="宋体" w:hAnsi="宋体" w:cs="宋体" w:hint="eastAsia"/>
                <w:sz w:val="21"/>
                <w:szCs w:val="21"/>
              </w:rPr>
            </w:pPr>
          </w:p>
        </w:tc>
        <w:tc>
          <w:tcPr>
            <w:tcW w:w="1990" w:type="dxa"/>
            <w:gridSpan w:val="2"/>
            <w:vAlign w:val="center"/>
          </w:tcPr>
          <w:p>
            <w:pPr>
              <w:jc w:val="center"/>
              <w:rPr>
                <w:rFonts w:ascii="宋体" w:eastAsia="宋体" w:hAnsi="宋体" w:cs="宋体" w:hint="eastAsia"/>
                <w:sz w:val="21"/>
                <w:szCs w:val="21"/>
              </w:rPr>
            </w:pPr>
          </w:p>
        </w:tc>
        <w:tc>
          <w:tcPr>
            <w:tcW w:w="1499" w:type="dxa"/>
            <w:vAlign w:val="center"/>
          </w:tcPr>
          <w:p>
            <w:pPr>
              <w:jc w:val="center"/>
              <w:rPr>
                <w:rFonts w:ascii="宋体" w:eastAsia="宋体" w:hAnsi="宋体" w:cs="宋体" w:hint="eastAsia"/>
                <w:sz w:val="21"/>
                <w:szCs w:val="21"/>
              </w:rPr>
            </w:pPr>
          </w:p>
        </w:tc>
        <w:tc>
          <w:tcPr>
            <w:tcW w:w="1489" w:type="dxa"/>
            <w:vAlign w:val="center"/>
          </w:tcPr>
          <w:p>
            <w:pPr>
              <w:jc w:val="center"/>
              <w:rPr>
                <w:rFonts w:ascii="宋体" w:eastAsia="宋体" w:hAnsi="宋体" w:cs="宋体" w:hint="eastAsia"/>
                <w:sz w:val="21"/>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vAlign w:val="top"/>
          </w:tcPr>
          <w:p>
            <w:pPr>
              <w:pStyle w:val="TableText"/>
              <w:spacing w:before="210" w:line="167" w:lineRule="auto"/>
              <w:ind w:left="321"/>
              <w:rPr>
                <w:rFonts w:ascii="宋体" w:eastAsia="宋体" w:hAnsi="宋体" w:cs="宋体" w:hint="eastAsia"/>
                <w:sz w:val="21"/>
                <w:szCs w:val="21"/>
              </w:rPr>
            </w:pPr>
            <w:r>
              <w:rPr>
                <w:rFonts w:ascii="宋体" w:eastAsia="宋体" w:hAnsi="宋体" w:cs="宋体" w:hint="eastAsia"/>
                <w:sz w:val="21"/>
                <w:szCs w:val="21"/>
              </w:rPr>
              <w:t>3</w:t>
            </w:r>
          </w:p>
        </w:tc>
        <w:tc>
          <w:tcPr>
            <w:tcW w:w="2281" w:type="dxa"/>
            <w:gridSpan w:val="2"/>
            <w:vAlign w:val="top"/>
          </w:tcPr>
          <w:p>
            <w:pPr>
              <w:pStyle w:val="TableText"/>
              <w:spacing w:before="178" w:line="201" w:lineRule="auto"/>
              <w:ind w:left="551"/>
              <w:rPr>
                <w:rFonts w:ascii="宋体" w:eastAsia="宋体" w:hAnsi="宋体" w:cs="宋体" w:hint="eastAsia"/>
                <w:sz w:val="21"/>
                <w:szCs w:val="21"/>
              </w:rPr>
            </w:pPr>
            <w:r>
              <w:rPr>
                <w:rFonts w:ascii="宋体" w:eastAsia="宋体" w:hAnsi="宋体" w:cs="宋体" w:hint="eastAsia"/>
                <w:spacing w:val="-3"/>
                <w:sz w:val="21"/>
                <w:szCs w:val="21"/>
              </w:rPr>
              <w:t>项目负责人</w:t>
            </w:r>
          </w:p>
        </w:tc>
        <w:tc>
          <w:tcPr>
            <w:tcW w:w="946" w:type="dxa"/>
            <w:vAlign w:val="center"/>
          </w:tcPr>
          <w:p>
            <w:pPr>
              <w:jc w:val="center"/>
              <w:rPr>
                <w:rFonts w:ascii="宋体" w:eastAsia="宋体" w:hAnsi="宋体" w:cs="宋体" w:hint="eastAsia"/>
                <w:sz w:val="21"/>
                <w:szCs w:val="21"/>
              </w:rPr>
            </w:pPr>
          </w:p>
        </w:tc>
        <w:tc>
          <w:tcPr>
            <w:tcW w:w="1990" w:type="dxa"/>
            <w:gridSpan w:val="2"/>
            <w:vAlign w:val="center"/>
          </w:tcPr>
          <w:p>
            <w:pPr>
              <w:jc w:val="center"/>
              <w:rPr>
                <w:rFonts w:ascii="宋体" w:eastAsia="宋体" w:hAnsi="宋体" w:cs="宋体" w:hint="eastAsia"/>
                <w:sz w:val="21"/>
                <w:szCs w:val="21"/>
              </w:rPr>
            </w:pPr>
          </w:p>
        </w:tc>
        <w:tc>
          <w:tcPr>
            <w:tcW w:w="1499" w:type="dxa"/>
            <w:vAlign w:val="center"/>
          </w:tcPr>
          <w:p>
            <w:pPr>
              <w:jc w:val="center"/>
              <w:rPr>
                <w:rFonts w:ascii="宋体" w:eastAsia="宋体" w:hAnsi="宋体" w:cs="宋体" w:hint="eastAsia"/>
                <w:sz w:val="21"/>
                <w:szCs w:val="21"/>
              </w:rPr>
            </w:pPr>
          </w:p>
        </w:tc>
        <w:tc>
          <w:tcPr>
            <w:tcW w:w="1489" w:type="dxa"/>
            <w:vAlign w:val="center"/>
          </w:tcPr>
          <w:p>
            <w:pPr>
              <w:jc w:val="center"/>
              <w:rPr>
                <w:rFonts w:ascii="宋体" w:eastAsia="宋体" w:hAnsi="宋体" w:cs="宋体" w:hint="eastAsia"/>
                <w:sz w:val="21"/>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vAlign w:val="top"/>
          </w:tcPr>
          <w:p>
            <w:pPr>
              <w:pStyle w:val="TableText"/>
              <w:spacing w:before="210" w:line="168" w:lineRule="auto"/>
              <w:ind w:left="314"/>
              <w:rPr>
                <w:rFonts w:ascii="宋体" w:eastAsia="宋体" w:hAnsi="宋体" w:cs="宋体" w:hint="eastAsia"/>
                <w:sz w:val="21"/>
                <w:szCs w:val="21"/>
              </w:rPr>
            </w:pPr>
            <w:r>
              <w:rPr>
                <w:rFonts w:ascii="宋体" w:eastAsia="宋体" w:hAnsi="宋体" w:cs="宋体" w:hint="eastAsia"/>
                <w:sz w:val="21"/>
                <w:szCs w:val="21"/>
              </w:rPr>
              <w:t>4</w:t>
            </w:r>
          </w:p>
        </w:tc>
        <w:tc>
          <w:tcPr>
            <w:tcW w:w="2281" w:type="dxa"/>
            <w:gridSpan w:val="2"/>
            <w:vAlign w:val="top"/>
          </w:tcPr>
          <w:p>
            <w:pPr>
              <w:pStyle w:val="TableText"/>
              <w:spacing w:before="176" w:line="202" w:lineRule="auto"/>
              <w:ind w:left="440"/>
              <w:rPr>
                <w:rFonts w:ascii="宋体" w:eastAsia="宋体" w:hAnsi="宋体" w:cs="宋体" w:hint="eastAsia"/>
                <w:sz w:val="21"/>
                <w:szCs w:val="21"/>
              </w:rPr>
            </w:pPr>
            <w:r>
              <w:rPr>
                <w:rFonts w:ascii="宋体" w:eastAsia="宋体" w:hAnsi="宋体" w:cs="宋体" w:hint="eastAsia"/>
                <w:spacing w:val="-4"/>
                <w:sz w:val="21"/>
                <w:szCs w:val="21"/>
              </w:rPr>
              <w:t>主要技术人员</w:t>
            </w:r>
          </w:p>
        </w:tc>
        <w:tc>
          <w:tcPr>
            <w:tcW w:w="946" w:type="dxa"/>
            <w:vAlign w:val="center"/>
          </w:tcPr>
          <w:p>
            <w:pPr>
              <w:jc w:val="center"/>
              <w:rPr>
                <w:rFonts w:ascii="宋体" w:eastAsia="宋体" w:hAnsi="宋体" w:cs="宋体" w:hint="eastAsia"/>
                <w:sz w:val="21"/>
                <w:szCs w:val="21"/>
              </w:rPr>
            </w:pPr>
          </w:p>
        </w:tc>
        <w:tc>
          <w:tcPr>
            <w:tcW w:w="1990" w:type="dxa"/>
            <w:gridSpan w:val="2"/>
            <w:vAlign w:val="center"/>
          </w:tcPr>
          <w:p>
            <w:pPr>
              <w:jc w:val="center"/>
              <w:rPr>
                <w:rFonts w:ascii="宋体" w:eastAsia="宋体" w:hAnsi="宋体" w:cs="宋体" w:hint="eastAsia"/>
                <w:sz w:val="21"/>
                <w:szCs w:val="21"/>
              </w:rPr>
            </w:pPr>
          </w:p>
        </w:tc>
        <w:tc>
          <w:tcPr>
            <w:tcW w:w="1499" w:type="dxa"/>
            <w:vAlign w:val="center"/>
          </w:tcPr>
          <w:p>
            <w:pPr>
              <w:jc w:val="center"/>
              <w:rPr>
                <w:rFonts w:ascii="宋体" w:eastAsia="宋体" w:hAnsi="宋体" w:cs="宋体" w:hint="eastAsia"/>
                <w:sz w:val="21"/>
                <w:szCs w:val="21"/>
              </w:rPr>
            </w:pPr>
          </w:p>
        </w:tc>
        <w:tc>
          <w:tcPr>
            <w:tcW w:w="1489" w:type="dxa"/>
            <w:vAlign w:val="center"/>
          </w:tcPr>
          <w:p>
            <w:pPr>
              <w:jc w:val="center"/>
              <w:rPr>
                <w:rFonts w:ascii="宋体" w:eastAsia="宋体" w:hAnsi="宋体" w:cs="宋体" w:hint="eastAsia"/>
                <w:sz w:val="21"/>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740" w:type="dxa"/>
            <w:vAlign w:val="top"/>
          </w:tcPr>
          <w:p>
            <w:pPr>
              <w:pStyle w:val="TableText"/>
              <w:spacing w:before="215" w:line="165" w:lineRule="auto"/>
              <w:ind w:left="325"/>
              <w:rPr>
                <w:rFonts w:ascii="宋体" w:eastAsia="宋体" w:hAnsi="宋体" w:cs="宋体" w:hint="eastAsia"/>
                <w:sz w:val="21"/>
                <w:szCs w:val="21"/>
              </w:rPr>
            </w:pPr>
            <w:r>
              <w:rPr>
                <w:rFonts w:ascii="宋体" w:eastAsia="宋体" w:hAnsi="宋体" w:cs="宋体" w:hint="eastAsia"/>
                <w:sz w:val="21"/>
                <w:szCs w:val="21"/>
              </w:rPr>
              <w:t>5</w:t>
            </w:r>
          </w:p>
        </w:tc>
        <w:tc>
          <w:tcPr>
            <w:tcW w:w="2281" w:type="dxa"/>
            <w:gridSpan w:val="2"/>
            <w:vAlign w:val="top"/>
          </w:tcPr>
          <w:p>
            <w:pPr>
              <w:pStyle w:val="TableText"/>
              <w:spacing w:before="178" w:line="202" w:lineRule="auto"/>
              <w:ind w:left="189"/>
              <w:rPr>
                <w:rFonts w:ascii="宋体" w:eastAsia="宋体" w:hAnsi="宋体" w:cs="宋体" w:hint="eastAsia"/>
                <w:sz w:val="21"/>
                <w:szCs w:val="21"/>
              </w:rPr>
            </w:pPr>
            <w:r>
              <w:rPr>
                <w:rFonts w:ascii="宋体" w:eastAsia="宋体" w:hAnsi="宋体" w:cs="宋体" w:hint="eastAsia"/>
                <w:spacing w:val="-2"/>
                <w:sz w:val="21"/>
                <w:szCs w:val="21"/>
              </w:rPr>
              <w:t>投标文件编制人员</w:t>
            </w:r>
          </w:p>
        </w:tc>
        <w:tc>
          <w:tcPr>
            <w:tcW w:w="946" w:type="dxa"/>
            <w:vAlign w:val="center"/>
          </w:tcPr>
          <w:p>
            <w:pPr>
              <w:jc w:val="center"/>
              <w:rPr>
                <w:rFonts w:ascii="宋体" w:eastAsia="宋体" w:hAnsi="宋体" w:cs="宋体" w:hint="eastAsia"/>
                <w:sz w:val="21"/>
                <w:szCs w:val="21"/>
              </w:rPr>
            </w:pPr>
          </w:p>
        </w:tc>
        <w:tc>
          <w:tcPr>
            <w:tcW w:w="1990" w:type="dxa"/>
            <w:gridSpan w:val="2"/>
            <w:vAlign w:val="center"/>
          </w:tcPr>
          <w:p>
            <w:pPr>
              <w:jc w:val="center"/>
              <w:rPr>
                <w:rFonts w:ascii="宋体" w:eastAsia="宋体" w:hAnsi="宋体" w:cs="宋体" w:hint="eastAsia"/>
                <w:sz w:val="21"/>
                <w:szCs w:val="21"/>
              </w:rPr>
            </w:pPr>
          </w:p>
        </w:tc>
        <w:tc>
          <w:tcPr>
            <w:tcW w:w="1499" w:type="dxa"/>
            <w:vAlign w:val="center"/>
          </w:tcPr>
          <w:p>
            <w:pPr>
              <w:jc w:val="center"/>
              <w:rPr>
                <w:rFonts w:ascii="宋体" w:eastAsia="宋体" w:hAnsi="宋体" w:cs="宋体" w:hint="eastAsia"/>
                <w:sz w:val="21"/>
                <w:szCs w:val="21"/>
              </w:rPr>
            </w:pPr>
          </w:p>
        </w:tc>
        <w:tc>
          <w:tcPr>
            <w:tcW w:w="1489" w:type="dxa"/>
            <w:vAlign w:val="center"/>
          </w:tcPr>
          <w:p>
            <w:pPr>
              <w:jc w:val="center"/>
              <w:rPr>
                <w:rFonts w:ascii="宋体" w:eastAsia="宋体" w:hAnsi="宋体" w:cs="宋体" w:hint="eastAsia"/>
                <w:sz w:val="21"/>
                <w:szCs w:val="21"/>
              </w:rPr>
            </w:pPr>
          </w:p>
        </w:tc>
      </w:tr>
      <w:tr>
        <w:tblPrEx>
          <w:tblW w:w="8945" w:type="dxa"/>
          <w:jc w:val="center"/>
          <w:tblLayout w:type="fixed"/>
          <w:tblCellMar>
            <w:top w:w="0" w:type="dxa"/>
            <w:left w:w="0" w:type="dxa"/>
            <w:bottom w:w="0" w:type="dxa"/>
            <w:right w:w="0" w:type="dxa"/>
          </w:tblCellMar>
        </w:tblPrEx>
        <w:trPr>
          <w:trHeight w:val="629"/>
          <w:jc w:val="center"/>
        </w:trPr>
        <w:tc>
          <w:tcPr>
            <w:tcW w:w="8945" w:type="dxa"/>
            <w:gridSpan w:val="8"/>
            <w:vAlign w:val="top"/>
          </w:tcPr>
          <w:p>
            <w:pPr>
              <w:pStyle w:val="TableText"/>
              <w:spacing w:before="178" w:line="198" w:lineRule="auto"/>
              <w:ind w:left="120"/>
              <w:rPr>
                <w:rFonts w:ascii="宋体" w:eastAsia="宋体" w:hAnsi="宋体" w:cs="宋体" w:hint="eastAsia"/>
                <w:b/>
                <w:bCs/>
                <w:spacing w:val="-1"/>
                <w:sz w:val="21"/>
                <w:szCs w:val="21"/>
                <w:lang w:eastAsia="zh-CN"/>
              </w:rPr>
            </w:pPr>
            <w:r>
              <w:rPr>
                <w:rFonts w:ascii="宋体" w:eastAsia="宋体" w:hAnsi="宋体" w:cs="宋体" w:hint="eastAsia"/>
                <w:b/>
                <w:bCs/>
                <w:spacing w:val="-1"/>
                <w:sz w:val="21"/>
                <w:szCs w:val="21"/>
              </w:rPr>
              <w:t>说明：</w:t>
            </w:r>
            <w:r>
              <w:rPr>
                <w:rFonts w:ascii="宋体" w:eastAsia="宋体" w:hAnsi="宋体" w:cs="宋体" w:hint="eastAsia"/>
                <w:b/>
                <w:bCs/>
                <w:spacing w:val="-1"/>
                <w:sz w:val="21"/>
                <w:szCs w:val="21"/>
                <w:lang w:val="en-US" w:eastAsia="zh-CN"/>
              </w:rPr>
              <w:t>1.</w:t>
            </w:r>
            <w:r>
              <w:rPr>
                <w:rFonts w:ascii="宋体" w:eastAsia="宋体" w:hAnsi="宋体" w:cs="宋体" w:hint="eastAsia"/>
                <w:b/>
                <w:bCs/>
                <w:spacing w:val="-1"/>
                <w:sz w:val="21"/>
                <w:szCs w:val="21"/>
              </w:rPr>
              <w:t>同一职务有多人担任（如主要技术人员）</w:t>
            </w:r>
            <w:r>
              <w:rPr>
                <w:rFonts w:ascii="宋体" w:eastAsia="宋体" w:hAnsi="宋体" w:cs="宋体" w:hint="eastAsia"/>
                <w:b/>
                <w:bCs/>
                <w:spacing w:val="-1"/>
                <w:sz w:val="21"/>
                <w:szCs w:val="21"/>
                <w:lang w:eastAsia="zh-CN"/>
              </w:rPr>
              <w:t>的</w:t>
            </w:r>
            <w:r>
              <w:rPr>
                <w:rFonts w:ascii="宋体" w:eastAsia="宋体" w:hAnsi="宋体" w:cs="宋体" w:hint="eastAsia"/>
                <w:b/>
                <w:bCs/>
                <w:spacing w:val="-1"/>
                <w:sz w:val="21"/>
                <w:szCs w:val="21"/>
              </w:rPr>
              <w:t>，应分行填写。</w:t>
            </w:r>
          </w:p>
          <w:p>
            <w:pPr>
              <w:pStyle w:val="TableText"/>
              <w:numPr>
                <w:ilvl w:val="0"/>
                <w:numId w:val="3"/>
              </w:numPr>
              <w:spacing w:before="178" w:line="198" w:lineRule="auto"/>
              <w:ind w:left="120"/>
              <w:rPr>
                <w:rFonts w:ascii="宋体" w:eastAsia="宋体" w:hAnsi="宋体" w:cs="宋体" w:hint="eastAsia"/>
                <w:b/>
                <w:bCs/>
                <w:spacing w:val="-1"/>
                <w:sz w:val="21"/>
                <w:szCs w:val="21"/>
                <w:lang w:eastAsia="zh-CN"/>
              </w:rPr>
            </w:pPr>
            <w:r>
              <w:rPr>
                <w:rFonts w:ascii="宋体" w:eastAsia="宋体" w:hAnsi="宋体" w:cs="宋体" w:hint="eastAsia"/>
                <w:b/>
                <w:bCs/>
                <w:spacing w:val="-1"/>
                <w:sz w:val="21"/>
                <w:szCs w:val="21"/>
                <w:lang w:eastAsia="zh-CN"/>
              </w:rPr>
              <w:t>同一人员可以担任多个职务。上述项目负责人、主要技术人员必须为供应商本单位人员，主要技术人员不等同于项目团队成员。</w:t>
            </w:r>
          </w:p>
          <w:p>
            <w:pPr>
              <w:pStyle w:val="TableText"/>
              <w:numPr>
                <w:ilvl w:val="0"/>
                <w:numId w:val="3"/>
              </w:numPr>
              <w:spacing w:before="178" w:line="198" w:lineRule="auto"/>
              <w:ind w:left="120"/>
              <w:rPr>
                <w:rFonts w:ascii="宋体" w:eastAsia="宋体" w:hAnsi="宋体" w:cs="宋体" w:hint="eastAsia"/>
                <w:b/>
                <w:bCs/>
                <w:spacing w:val="-1"/>
                <w:sz w:val="21"/>
                <w:szCs w:val="21"/>
                <w:lang w:eastAsia="zh-CN"/>
              </w:rPr>
            </w:pPr>
            <w:r>
              <w:rPr>
                <w:rFonts w:ascii="宋体" w:eastAsia="宋体" w:hAnsi="宋体" w:cs="宋体" w:hint="eastAsia"/>
                <w:b/>
                <w:bCs/>
                <w:spacing w:val="-1"/>
                <w:sz w:val="21"/>
                <w:szCs w:val="21"/>
                <w:lang w:eastAsia="zh-CN"/>
              </w:rPr>
              <w:t>法定代表人/单位负责人/主要经营负责人一栏填写“法定代表人”信息。</w:t>
            </w:r>
          </w:p>
        </w:tc>
      </w:tr>
      <w:tr>
        <w:tblPrEx>
          <w:tblW w:w="8945" w:type="dxa"/>
          <w:jc w:val="center"/>
          <w:tblLayout w:type="fixed"/>
          <w:tblCellMar>
            <w:top w:w="0" w:type="dxa"/>
            <w:left w:w="0" w:type="dxa"/>
            <w:bottom w:w="0" w:type="dxa"/>
            <w:right w:w="0" w:type="dxa"/>
          </w:tblCellMar>
        </w:tblPrEx>
        <w:trPr>
          <w:trHeight w:val="629"/>
          <w:jc w:val="center"/>
        </w:trPr>
        <w:tc>
          <w:tcPr>
            <w:tcW w:w="8945" w:type="dxa"/>
            <w:gridSpan w:val="8"/>
            <w:vAlign w:val="top"/>
          </w:tcPr>
          <w:p>
            <w:pPr>
              <w:pStyle w:val="TableText"/>
              <w:spacing w:before="177" w:line="198" w:lineRule="auto"/>
              <w:ind w:left="2683"/>
              <w:rPr>
                <w:rFonts w:ascii="宋体" w:eastAsia="宋体" w:hAnsi="宋体" w:cs="宋体" w:hint="eastAsia"/>
                <w:sz w:val="21"/>
                <w:szCs w:val="21"/>
              </w:rPr>
            </w:pPr>
            <w:r>
              <w:rPr>
                <w:rFonts w:ascii="宋体" w:eastAsia="宋体" w:hAnsi="宋体" w:cs="宋体" w:hint="eastAsia"/>
                <w:b/>
                <w:bCs/>
                <w:sz w:val="21"/>
                <w:szCs w:val="21"/>
              </w:rPr>
              <w:t>投标（响应）供应商关联关系情况</w:t>
            </w:r>
          </w:p>
        </w:tc>
      </w:tr>
      <w:tr>
        <w:tblPrEx>
          <w:tblW w:w="8945" w:type="dxa"/>
          <w:jc w:val="center"/>
          <w:tblLayout w:type="fixed"/>
          <w:tblCellMar>
            <w:top w:w="0" w:type="dxa"/>
            <w:left w:w="0" w:type="dxa"/>
            <w:bottom w:w="0" w:type="dxa"/>
            <w:right w:w="0" w:type="dxa"/>
          </w:tblCellMar>
        </w:tblPrEx>
        <w:trPr>
          <w:trHeight w:val="629"/>
          <w:jc w:val="center"/>
        </w:trPr>
        <w:tc>
          <w:tcPr>
            <w:tcW w:w="740" w:type="dxa"/>
            <w:vAlign w:val="top"/>
          </w:tcPr>
          <w:p>
            <w:pPr>
              <w:pStyle w:val="TableText"/>
              <w:spacing w:before="178" w:line="202" w:lineRule="auto"/>
              <w:ind w:left="145"/>
              <w:rPr>
                <w:rFonts w:ascii="宋体" w:eastAsia="宋体" w:hAnsi="宋体" w:cs="宋体" w:hint="eastAsia"/>
                <w:sz w:val="21"/>
                <w:szCs w:val="21"/>
              </w:rPr>
            </w:pPr>
            <w:r>
              <w:rPr>
                <w:rFonts w:ascii="宋体" w:eastAsia="宋体" w:hAnsi="宋体" w:cs="宋体" w:hint="eastAsia"/>
                <w:spacing w:val="-5"/>
                <w:sz w:val="21"/>
                <w:szCs w:val="21"/>
              </w:rPr>
              <w:t>序号</w:t>
            </w:r>
          </w:p>
        </w:tc>
        <w:tc>
          <w:tcPr>
            <w:tcW w:w="2281" w:type="dxa"/>
            <w:gridSpan w:val="2"/>
            <w:vAlign w:val="top"/>
          </w:tcPr>
          <w:p>
            <w:pPr>
              <w:pStyle w:val="TableText"/>
              <w:spacing w:before="177" w:line="202" w:lineRule="auto"/>
              <w:ind w:left="436"/>
              <w:rPr>
                <w:rFonts w:ascii="宋体" w:eastAsia="宋体" w:hAnsi="宋体" w:cs="宋体" w:hint="eastAsia"/>
                <w:sz w:val="21"/>
                <w:szCs w:val="21"/>
              </w:rPr>
            </w:pPr>
            <w:r>
              <w:rPr>
                <w:rFonts w:ascii="宋体" w:eastAsia="宋体" w:hAnsi="宋体" w:cs="宋体" w:hint="eastAsia"/>
                <w:spacing w:val="-3"/>
                <w:sz w:val="21"/>
                <w:szCs w:val="21"/>
              </w:rPr>
              <w:t>关联关系类型</w:t>
            </w:r>
          </w:p>
        </w:tc>
        <w:tc>
          <w:tcPr>
            <w:tcW w:w="1737" w:type="dxa"/>
            <w:gridSpan w:val="2"/>
            <w:vAlign w:val="top"/>
          </w:tcPr>
          <w:p>
            <w:pPr>
              <w:pStyle w:val="TableText"/>
              <w:spacing w:before="177" w:line="203" w:lineRule="auto"/>
              <w:ind w:left="166"/>
              <w:rPr>
                <w:rFonts w:ascii="宋体" w:eastAsia="宋体" w:hAnsi="宋体" w:cs="宋体" w:hint="eastAsia"/>
                <w:sz w:val="21"/>
                <w:szCs w:val="21"/>
              </w:rPr>
            </w:pPr>
            <w:r>
              <w:rPr>
                <w:rFonts w:ascii="宋体" w:eastAsia="宋体" w:hAnsi="宋体" w:cs="宋体" w:hint="eastAsia"/>
                <w:spacing w:val="-3"/>
                <w:sz w:val="21"/>
                <w:szCs w:val="21"/>
              </w:rPr>
              <w:t>关联主体名称</w:t>
            </w:r>
          </w:p>
        </w:tc>
        <w:tc>
          <w:tcPr>
            <w:tcW w:w="4187" w:type="dxa"/>
            <w:gridSpan w:val="3"/>
            <w:vAlign w:val="top"/>
          </w:tcPr>
          <w:p>
            <w:pPr>
              <w:pStyle w:val="TableText"/>
              <w:spacing w:before="177" w:line="204" w:lineRule="auto"/>
              <w:ind w:left="1862"/>
              <w:rPr>
                <w:rFonts w:ascii="宋体" w:eastAsia="宋体" w:hAnsi="宋体" w:cs="宋体" w:hint="eastAsia"/>
                <w:sz w:val="21"/>
                <w:szCs w:val="21"/>
              </w:rPr>
            </w:pPr>
            <w:r>
              <w:rPr>
                <w:rFonts w:ascii="宋体" w:eastAsia="宋体" w:hAnsi="宋体" w:cs="宋体" w:hint="eastAsia"/>
                <w:spacing w:val="-4"/>
                <w:sz w:val="21"/>
                <w:szCs w:val="21"/>
              </w:rPr>
              <w:t>备注</w:t>
            </w:r>
          </w:p>
        </w:tc>
      </w:tr>
      <w:tr>
        <w:tblPrEx>
          <w:tblW w:w="8945" w:type="dxa"/>
          <w:jc w:val="center"/>
          <w:tblLayout w:type="fixed"/>
          <w:tblCellMar>
            <w:top w:w="0" w:type="dxa"/>
            <w:left w:w="0" w:type="dxa"/>
            <w:bottom w:w="0" w:type="dxa"/>
            <w:right w:w="0" w:type="dxa"/>
          </w:tblCellMar>
        </w:tblPrEx>
        <w:trPr>
          <w:trHeight w:val="1582"/>
          <w:jc w:val="center"/>
        </w:trPr>
        <w:tc>
          <w:tcPr>
            <w:tcW w:w="740" w:type="dxa"/>
            <w:vAlign w:val="top"/>
          </w:tcPr>
          <w:p>
            <w:pPr>
              <w:spacing w:line="290" w:lineRule="auto"/>
              <w:rPr>
                <w:rFonts w:ascii="宋体" w:eastAsia="宋体" w:hAnsi="宋体" w:cs="宋体" w:hint="eastAsia"/>
                <w:sz w:val="21"/>
                <w:szCs w:val="21"/>
              </w:rPr>
            </w:pPr>
          </w:p>
          <w:p>
            <w:pPr>
              <w:spacing w:line="290" w:lineRule="auto"/>
              <w:rPr>
                <w:rFonts w:ascii="宋体" w:eastAsia="宋体" w:hAnsi="宋体" w:cs="宋体" w:hint="eastAsia"/>
                <w:sz w:val="21"/>
                <w:szCs w:val="21"/>
              </w:rPr>
            </w:pPr>
          </w:p>
          <w:p>
            <w:pPr>
              <w:pStyle w:val="TableText"/>
              <w:spacing w:before="103" w:line="169" w:lineRule="auto"/>
              <w:ind w:left="321"/>
              <w:rPr>
                <w:rFonts w:ascii="宋体" w:eastAsia="宋体" w:hAnsi="宋体" w:cs="宋体" w:hint="eastAsia"/>
                <w:sz w:val="21"/>
                <w:szCs w:val="21"/>
              </w:rPr>
            </w:pPr>
            <w:r>
              <w:rPr>
                <w:rFonts w:ascii="宋体" w:eastAsia="宋体" w:hAnsi="宋体" w:cs="宋体" w:hint="eastAsia"/>
                <w:sz w:val="21"/>
                <w:szCs w:val="21"/>
              </w:rPr>
              <w:t>1</w:t>
            </w:r>
          </w:p>
        </w:tc>
        <w:tc>
          <w:tcPr>
            <w:tcW w:w="2281" w:type="dxa"/>
            <w:gridSpan w:val="2"/>
            <w:vAlign w:val="top"/>
          </w:tcPr>
          <w:p>
            <w:pPr>
              <w:spacing w:line="274" w:lineRule="auto"/>
              <w:rPr>
                <w:rFonts w:ascii="宋体" w:eastAsia="宋体" w:hAnsi="宋体" w:cs="宋体" w:hint="eastAsia"/>
                <w:sz w:val="21"/>
                <w:szCs w:val="21"/>
              </w:rPr>
            </w:pPr>
          </w:p>
          <w:p>
            <w:pPr>
              <w:spacing w:line="274" w:lineRule="auto"/>
              <w:rPr>
                <w:rFonts w:ascii="宋体" w:eastAsia="宋体" w:hAnsi="宋体" w:cs="宋体" w:hint="eastAsia"/>
                <w:sz w:val="21"/>
                <w:szCs w:val="21"/>
              </w:rPr>
            </w:pPr>
          </w:p>
          <w:p>
            <w:pPr>
              <w:pStyle w:val="TableText"/>
              <w:spacing w:before="103" w:line="203" w:lineRule="auto"/>
              <w:ind w:left="671"/>
              <w:rPr>
                <w:rFonts w:ascii="宋体" w:eastAsia="宋体" w:hAnsi="宋体" w:cs="宋体" w:hint="eastAsia"/>
                <w:sz w:val="21"/>
                <w:szCs w:val="21"/>
              </w:rPr>
            </w:pPr>
            <w:r>
              <w:rPr>
                <w:rFonts w:ascii="宋体" w:eastAsia="宋体" w:hAnsi="宋体" w:cs="宋体" w:hint="eastAsia"/>
                <w:spacing w:val="-3"/>
                <w:sz w:val="21"/>
                <w:szCs w:val="21"/>
              </w:rPr>
              <w:t>控股股东</w:t>
            </w:r>
          </w:p>
        </w:tc>
        <w:tc>
          <w:tcPr>
            <w:tcW w:w="1737" w:type="dxa"/>
            <w:gridSpan w:val="2"/>
            <w:vAlign w:val="center"/>
          </w:tcPr>
          <w:p>
            <w:pPr>
              <w:jc w:val="center"/>
              <w:rPr>
                <w:rFonts w:ascii="宋体" w:eastAsia="宋体" w:hAnsi="宋体" w:cs="宋体" w:hint="eastAsia"/>
                <w:sz w:val="21"/>
                <w:szCs w:val="21"/>
              </w:rPr>
            </w:pPr>
          </w:p>
        </w:tc>
        <w:tc>
          <w:tcPr>
            <w:tcW w:w="4187" w:type="dxa"/>
            <w:gridSpan w:val="3"/>
            <w:vAlign w:val="center"/>
          </w:tcPr>
          <w:p>
            <w:pPr>
              <w:pStyle w:val="TableText"/>
              <w:keepNext w:val="0"/>
              <w:keepLines w:val="0"/>
              <w:pageBreakBefore w:val="0"/>
              <w:widowControl/>
              <w:kinsoku w:val="0"/>
              <w:wordWrap/>
              <w:overflowPunct/>
              <w:topLinePunct w:val="0"/>
              <w:autoSpaceDE w:val="0"/>
              <w:autoSpaceDN w:val="0"/>
              <w:bidi w:val="0"/>
              <w:adjustRightInd w:val="0"/>
              <w:snapToGrid w:val="0"/>
              <w:spacing w:before="27" w:line="300" w:lineRule="exact"/>
              <w:ind w:left="98" w:right="116" w:firstLine="19"/>
              <w:jc w:val="both"/>
              <w:textAlignment w:val="baseline"/>
              <w:rPr>
                <w:rFonts w:ascii="宋体" w:eastAsia="宋体" w:hAnsi="宋体" w:cs="宋体" w:hint="eastAsia"/>
                <w:sz w:val="21"/>
                <w:szCs w:val="21"/>
              </w:rPr>
            </w:pPr>
            <w:r>
              <w:rPr>
                <w:rFonts w:ascii="宋体" w:eastAsia="宋体" w:hAnsi="宋体" w:cs="宋体" w:hint="eastAsia"/>
                <w:spacing w:val="-1"/>
                <w:sz w:val="21"/>
                <w:szCs w:val="21"/>
              </w:rPr>
              <w:t>指出资额（或持有股份）占投标（响应）供应商资</w:t>
            </w:r>
            <w:r>
              <w:rPr>
                <w:rFonts w:ascii="宋体" w:eastAsia="宋体" w:hAnsi="宋体" w:cs="宋体" w:hint="eastAsia"/>
                <w:spacing w:val="-8"/>
                <w:sz w:val="21"/>
                <w:szCs w:val="21"/>
              </w:rPr>
              <w:t>本总额（或股本总额）50%以上的股东，以及出资额</w:t>
            </w:r>
            <w:r>
              <w:rPr>
                <w:rFonts w:ascii="宋体" w:eastAsia="宋体" w:hAnsi="宋体" w:cs="宋体" w:hint="eastAsia"/>
                <w:spacing w:val="-5"/>
                <w:sz w:val="21"/>
                <w:szCs w:val="21"/>
              </w:rPr>
              <w:t>（或持有股份）的比例虽然不足50%，但依</w:t>
            </w:r>
            <w:r>
              <w:rPr>
                <w:rFonts w:ascii="宋体" w:eastAsia="宋体" w:hAnsi="宋体" w:cs="宋体" w:hint="eastAsia"/>
                <w:spacing w:val="-6"/>
                <w:sz w:val="21"/>
                <w:szCs w:val="21"/>
              </w:rPr>
              <w:t>其出资</w:t>
            </w:r>
            <w:r>
              <w:rPr>
                <w:rFonts w:ascii="宋体" w:eastAsia="宋体" w:hAnsi="宋体" w:cs="宋体" w:hint="eastAsia"/>
                <w:spacing w:val="-9"/>
                <w:sz w:val="21"/>
                <w:szCs w:val="21"/>
              </w:rPr>
              <w:t>额（或持有股份）所享有的表决权已足以对投标（响</w:t>
            </w:r>
            <w:r>
              <w:rPr>
                <w:rFonts w:ascii="宋体" w:eastAsia="宋体" w:hAnsi="宋体" w:cs="宋体" w:hint="eastAsia"/>
                <w:sz w:val="21"/>
                <w:szCs w:val="21"/>
              </w:rPr>
              <w:t>应）供应商股东会（或股东大会）的决议产生重要</w:t>
            </w:r>
            <w:r>
              <w:rPr>
                <w:rFonts w:ascii="宋体" w:eastAsia="宋体" w:hAnsi="宋体" w:cs="宋体" w:hint="eastAsia"/>
                <w:spacing w:val="-2"/>
                <w:sz w:val="21"/>
                <w:szCs w:val="21"/>
              </w:rPr>
              <w:t>影响的股东。</w:t>
            </w:r>
          </w:p>
        </w:tc>
      </w:tr>
      <w:tr>
        <w:tblPrEx>
          <w:tblW w:w="8945" w:type="dxa"/>
          <w:jc w:val="center"/>
          <w:tblLayout w:type="fixed"/>
          <w:tblCellMar>
            <w:top w:w="0" w:type="dxa"/>
            <w:left w:w="0" w:type="dxa"/>
            <w:bottom w:w="0" w:type="dxa"/>
            <w:right w:w="0" w:type="dxa"/>
          </w:tblCellMar>
        </w:tblPrEx>
        <w:trPr>
          <w:trHeight w:val="705"/>
          <w:jc w:val="center"/>
        </w:trPr>
        <w:tc>
          <w:tcPr>
            <w:tcW w:w="740" w:type="dxa"/>
            <w:vAlign w:val="top"/>
          </w:tcPr>
          <w:p>
            <w:pPr>
              <w:pStyle w:val="TableText"/>
              <w:spacing w:before="251" w:line="168" w:lineRule="auto"/>
              <w:ind w:left="322"/>
              <w:rPr>
                <w:rFonts w:ascii="宋体" w:eastAsia="宋体" w:hAnsi="宋体" w:cs="宋体" w:hint="eastAsia"/>
                <w:sz w:val="21"/>
                <w:szCs w:val="21"/>
              </w:rPr>
            </w:pPr>
            <w:r>
              <w:rPr>
                <w:rFonts w:ascii="宋体" w:eastAsia="宋体" w:hAnsi="宋体" w:cs="宋体" w:hint="eastAsia"/>
                <w:sz w:val="21"/>
                <w:szCs w:val="21"/>
              </w:rPr>
              <w:t>2</w:t>
            </w:r>
          </w:p>
        </w:tc>
        <w:tc>
          <w:tcPr>
            <w:tcW w:w="2281" w:type="dxa"/>
            <w:gridSpan w:val="2"/>
            <w:vAlign w:val="top"/>
          </w:tcPr>
          <w:p>
            <w:pPr>
              <w:pStyle w:val="TableText"/>
              <w:spacing w:before="217" w:line="203" w:lineRule="auto"/>
              <w:ind w:left="678"/>
              <w:rPr>
                <w:rFonts w:ascii="宋体" w:eastAsia="宋体" w:hAnsi="宋体" w:cs="宋体" w:hint="eastAsia"/>
                <w:sz w:val="21"/>
                <w:szCs w:val="21"/>
              </w:rPr>
            </w:pPr>
            <w:r>
              <w:rPr>
                <w:rFonts w:ascii="宋体" w:eastAsia="宋体" w:hAnsi="宋体" w:cs="宋体" w:hint="eastAsia"/>
                <w:spacing w:val="-5"/>
                <w:sz w:val="21"/>
                <w:szCs w:val="21"/>
              </w:rPr>
              <w:t>管理关系</w:t>
            </w:r>
          </w:p>
        </w:tc>
        <w:tc>
          <w:tcPr>
            <w:tcW w:w="1737" w:type="dxa"/>
            <w:gridSpan w:val="2"/>
            <w:vAlign w:val="center"/>
          </w:tcPr>
          <w:p>
            <w:pPr>
              <w:jc w:val="center"/>
              <w:rPr>
                <w:rFonts w:ascii="宋体" w:eastAsia="宋体" w:hAnsi="宋体" w:cs="宋体" w:hint="eastAsia"/>
                <w:sz w:val="21"/>
                <w:szCs w:val="21"/>
              </w:rPr>
            </w:pPr>
          </w:p>
        </w:tc>
        <w:tc>
          <w:tcPr>
            <w:tcW w:w="4187" w:type="dxa"/>
            <w:gridSpan w:val="3"/>
            <w:vAlign w:val="top"/>
          </w:tcPr>
          <w:p>
            <w:pPr>
              <w:pStyle w:val="TableText"/>
              <w:keepNext w:val="0"/>
              <w:keepLines w:val="0"/>
              <w:pageBreakBefore w:val="0"/>
              <w:widowControl/>
              <w:kinsoku w:val="0"/>
              <w:wordWrap/>
              <w:overflowPunct/>
              <w:topLinePunct w:val="0"/>
              <w:autoSpaceDE w:val="0"/>
              <w:autoSpaceDN w:val="0"/>
              <w:bidi w:val="0"/>
              <w:adjustRightInd w:val="0"/>
              <w:snapToGrid w:val="0"/>
              <w:spacing w:before="43" w:line="300" w:lineRule="exact"/>
              <w:ind w:left="120" w:right="24"/>
              <w:textAlignment w:val="baseline"/>
              <w:rPr>
                <w:rFonts w:ascii="宋体" w:eastAsia="宋体" w:hAnsi="宋体" w:cs="宋体" w:hint="eastAsia"/>
                <w:sz w:val="21"/>
                <w:szCs w:val="21"/>
              </w:rPr>
            </w:pPr>
            <w:r>
              <w:rPr>
                <w:rFonts w:ascii="宋体" w:eastAsia="宋体" w:hAnsi="宋体" w:cs="宋体" w:hint="eastAsia"/>
                <w:spacing w:val="-8"/>
                <w:sz w:val="21"/>
                <w:szCs w:val="21"/>
              </w:rPr>
              <w:t>指对投标（响应）供应商不具有出资持</w:t>
            </w:r>
            <w:r>
              <w:rPr>
                <w:rFonts w:ascii="宋体" w:eastAsia="宋体" w:hAnsi="宋体" w:cs="宋体" w:hint="eastAsia"/>
                <w:spacing w:val="-3"/>
                <w:sz w:val="21"/>
                <w:szCs w:val="21"/>
              </w:rPr>
              <w:t>股关系，但对其存在管理关系的主体。</w:t>
            </w:r>
          </w:p>
        </w:tc>
      </w:tr>
      <w:tr>
        <w:tblPrEx>
          <w:tblW w:w="8945" w:type="dxa"/>
          <w:jc w:val="center"/>
          <w:tblLayout w:type="fixed"/>
          <w:tblCellMar>
            <w:top w:w="0" w:type="dxa"/>
            <w:left w:w="0" w:type="dxa"/>
            <w:bottom w:w="0" w:type="dxa"/>
            <w:right w:w="0" w:type="dxa"/>
          </w:tblCellMar>
        </w:tblPrEx>
        <w:trPr>
          <w:trHeight w:val="541"/>
          <w:jc w:val="center"/>
        </w:trPr>
        <w:tc>
          <w:tcPr>
            <w:tcW w:w="8945" w:type="dxa"/>
            <w:gridSpan w:val="8"/>
            <w:vAlign w:val="top"/>
          </w:tcPr>
          <w:p>
            <w:pPr>
              <w:pStyle w:val="TableText"/>
              <w:spacing w:before="42" w:line="180" w:lineRule="auto"/>
              <w:ind w:left="120"/>
              <w:rPr>
                <w:rFonts w:ascii="宋体" w:eastAsia="宋体" w:hAnsi="宋体" w:cs="宋体" w:hint="eastAsia"/>
                <w:sz w:val="21"/>
                <w:szCs w:val="21"/>
              </w:rPr>
            </w:pPr>
            <w:r>
              <w:rPr>
                <w:rFonts w:ascii="宋体" w:eastAsia="宋体" w:hAnsi="宋体" w:cs="宋体" w:hint="eastAsia"/>
                <w:b/>
                <w:bCs/>
                <w:spacing w:val="-1"/>
                <w:sz w:val="21"/>
                <w:szCs w:val="21"/>
              </w:rPr>
              <w:t>说明：同一关联关系类型有多个主体的，应分行填写。</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lang w:eastAsia="zh-CN"/>
        </w:rPr>
      </w:pPr>
      <w:r>
        <w:rPr>
          <w:rFonts w:ascii="宋体" w:eastAsia="宋体" w:hAnsi="宋体" w:cs="宋体" w:hint="eastAsia"/>
          <w:b/>
          <w:bCs/>
          <w:lang w:eastAsia="zh-CN"/>
        </w:rPr>
        <w:t>填报</w:t>
      </w:r>
      <w:r>
        <w:rPr>
          <w:rFonts w:ascii="宋体" w:hAnsi="宋体" w:cs="宋体" w:hint="eastAsia"/>
          <w:b/>
          <w:bCs/>
          <w:lang w:eastAsia="zh-CN"/>
        </w:rPr>
        <w:t>要求</w:t>
      </w:r>
      <w:r>
        <w:rPr>
          <w:rFonts w:ascii="宋体" w:eastAsia="宋体" w:hAnsi="宋体" w:cs="宋体" w:hint="eastAsia"/>
          <w:b/>
          <w:bCs/>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1、</w:t>
      </w:r>
      <w:r>
        <w:rPr>
          <w:rFonts w:ascii="宋体" w:hAnsi="宋体" w:cs="宋体" w:hint="eastAsia"/>
          <w:b/>
          <w:bCs/>
          <w:highlight w:val="none"/>
          <w:lang w:val="en-US" w:eastAsia="zh-CN"/>
        </w:rPr>
        <w:t>投标（响应）供应商</w:t>
      </w:r>
      <w:r>
        <w:rPr>
          <w:rFonts w:ascii="宋体" w:eastAsia="宋体" w:hAnsi="宋体" w:cs="宋体" w:hint="eastAsia"/>
          <w:b/>
          <w:bCs/>
          <w:highlight w:val="none"/>
          <w:lang w:val="en-US" w:eastAsia="zh-CN"/>
        </w:rPr>
        <w:t>须如实填报《供应商基本情况表》。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2、</w:t>
      </w:r>
      <w:r>
        <w:rPr>
          <w:rFonts w:ascii="宋体" w:hAnsi="宋体" w:cs="宋体" w:hint="eastAsia"/>
          <w:b/>
          <w:bCs/>
          <w:highlight w:val="none"/>
          <w:lang w:val="en-US" w:eastAsia="zh-CN"/>
        </w:rPr>
        <w:t>投标（响应）供应商</w:t>
      </w:r>
      <w:r>
        <w:rPr>
          <w:rFonts w:ascii="宋体" w:eastAsia="宋体" w:hAnsi="宋体" w:cs="宋体" w:hint="eastAsia"/>
          <w:b/>
          <w:bCs/>
          <w:highlight w:val="none"/>
          <w:lang w:val="en-US" w:eastAsia="zh-CN"/>
        </w:rPr>
        <w:t>需提供法定代表人、主要经营负责人、项目投标授权代表人、项目负责人、主要技术人员</w:t>
      </w:r>
      <w:r>
        <w:rPr>
          <w:rFonts w:ascii="宋体" w:hAnsi="宋体" w:cs="宋体" w:hint="eastAsia"/>
          <w:b/>
          <w:bCs/>
          <w:highlight w:val="none"/>
          <w:lang w:val="en-US" w:eastAsia="zh-CN"/>
        </w:rPr>
        <w:t>、投标文件编制人员</w:t>
      </w:r>
      <w:r>
        <w:rPr>
          <w:rFonts w:ascii="宋体" w:hAnsi="宋体" w:cs="宋体" w:hint="eastAsia"/>
          <w:b/>
          <w:bCs/>
          <w:highlight w:val="yellow"/>
          <w:lang w:eastAsia="zh-CN"/>
        </w:rPr>
        <w:t>在投标（响应）截止日前最近</w:t>
      </w:r>
      <w:r>
        <w:rPr>
          <w:rFonts w:ascii="宋体" w:hAnsi="宋体" w:cs="宋体" w:hint="eastAsia"/>
          <w:b/>
          <w:bCs/>
          <w:highlight w:val="yellow"/>
        </w:rPr>
        <w:t>一个月</w:t>
      </w:r>
      <w:r>
        <w:rPr>
          <w:rFonts w:ascii="宋体" w:hAnsi="宋体" w:cs="宋体" w:hint="eastAsia"/>
          <w:b/>
          <w:bCs/>
          <w:highlight w:val="yellow"/>
          <w:lang w:eastAsia="zh-CN"/>
        </w:rPr>
        <w:t>载有社保部门或税务部门公章</w:t>
      </w:r>
      <w:r>
        <w:rPr>
          <w:rFonts w:ascii="宋体" w:hAnsi="宋体" w:cs="宋体" w:hint="eastAsia"/>
          <w:b/>
          <w:bCs/>
          <w:highlight w:val="yellow"/>
        </w:rPr>
        <w:t>的社会保险证明材料（</w:t>
      </w:r>
      <w:r>
        <w:rPr>
          <w:rFonts w:ascii="宋体" w:hAnsi="宋体" w:cs="宋体" w:hint="eastAsia"/>
          <w:b/>
          <w:bCs/>
          <w:highlight w:val="yellow"/>
          <w:lang w:eastAsia="zh-CN"/>
        </w:rPr>
        <w:t>如因主管部门原因最近一个月的社保证明无法提供，可往前顺延一至二个月</w:t>
      </w:r>
      <w:r>
        <w:rPr>
          <w:rFonts w:ascii="宋体" w:hAnsi="宋体" w:cs="宋体" w:hint="eastAsia"/>
          <w:b/>
          <w:bCs/>
          <w:highlight w:val="yellow"/>
        </w:rPr>
        <w:t>）</w:t>
      </w:r>
      <w:r>
        <w:rPr>
          <w:rFonts w:ascii="宋体" w:eastAsia="宋体" w:hAnsi="宋体" w:cs="宋体" w:hint="eastAsia"/>
          <w:b/>
          <w:bCs/>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b/>
          <w:bCs/>
          <w:highlight w:val="yellow"/>
          <w:lang w:val="en-US" w:eastAsia="zh-CN"/>
        </w:rPr>
      </w:pPr>
      <w:r>
        <w:rPr>
          <w:rFonts w:ascii="宋体" w:eastAsia="宋体" w:hAnsi="宋体" w:cs="宋体" w:hint="eastAsia"/>
          <w:b/>
          <w:bCs/>
          <w:highlight w:val="none"/>
          <w:lang w:val="en-US" w:eastAsia="zh-CN"/>
        </w:rPr>
        <w:t>注：1)</w:t>
      </w:r>
      <w:r>
        <w:rPr>
          <w:rFonts w:ascii="宋体" w:hAnsi="宋体" w:cs="宋体" w:hint="eastAsia"/>
          <w:b/>
          <w:bCs/>
          <w:highlight w:val="none"/>
          <w:lang w:val="en-US" w:eastAsia="zh-CN"/>
        </w:rPr>
        <w:t>投标（响应）供应商</w:t>
      </w:r>
      <w:r>
        <w:rPr>
          <w:rFonts w:ascii="宋体" w:eastAsia="宋体" w:hAnsi="宋体" w:cs="宋体" w:hint="eastAsia"/>
          <w:b/>
          <w:bCs/>
          <w:highlight w:val="none"/>
          <w:lang w:val="en-US" w:eastAsia="zh-CN"/>
        </w:rPr>
        <w:t>应如实提供上述人员的社会保险证明，</w:t>
      </w:r>
      <w:r>
        <w:rPr>
          <w:rFonts w:ascii="宋体" w:hAnsi="宋体" w:cs="宋体" w:hint="eastAsia"/>
          <w:b/>
          <w:bCs/>
          <w:highlight w:val="yellow"/>
          <w:lang w:val="en-US" w:eastAsia="zh-CN"/>
        </w:rPr>
        <w:t>如</w:t>
      </w:r>
      <w:r>
        <w:rPr>
          <w:rFonts w:ascii="宋体" w:eastAsia="宋体" w:hAnsi="宋体" w:cs="宋体" w:hint="eastAsia"/>
          <w:b/>
          <w:bCs/>
          <w:highlight w:val="yellow"/>
          <w:lang w:val="en-US" w:eastAsia="zh-CN"/>
        </w:rPr>
        <w:t>社会保险未由</w:t>
      </w:r>
      <w:r>
        <w:rPr>
          <w:rFonts w:ascii="宋体" w:hAnsi="宋体" w:cs="宋体" w:hint="eastAsia"/>
          <w:b/>
          <w:bCs/>
          <w:highlight w:val="yellow"/>
          <w:lang w:val="en-US" w:eastAsia="zh-CN"/>
        </w:rPr>
        <w:t>投标（响应）供应商</w:t>
      </w:r>
      <w:r>
        <w:rPr>
          <w:rFonts w:ascii="宋体" w:eastAsia="宋体" w:hAnsi="宋体" w:cs="宋体" w:hint="eastAsia"/>
          <w:b/>
          <w:bCs/>
          <w:highlight w:val="yellow"/>
          <w:lang w:val="en-US" w:eastAsia="zh-CN"/>
        </w:rPr>
        <w:t>缴纳，</w:t>
      </w:r>
      <w:r>
        <w:rPr>
          <w:rFonts w:ascii="宋体" w:hAnsi="宋体" w:cs="宋体" w:hint="eastAsia"/>
          <w:b/>
          <w:bCs/>
          <w:highlight w:val="yellow"/>
          <w:lang w:val="en-US" w:eastAsia="zh-CN"/>
        </w:rPr>
        <w:t>亦须提供相应单位为其缴纳的社会保险证明。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2)</w:t>
      </w:r>
      <w:r>
        <w:rPr>
          <w:rFonts w:ascii="宋体" w:hAnsi="宋体" w:cs="宋体" w:hint="eastAsia"/>
          <w:b/>
          <w:bCs/>
          <w:highlight w:val="none"/>
          <w:lang w:val="en-US" w:eastAsia="zh-CN"/>
        </w:rPr>
        <w:t>如因为主管部门原因无法提供社保证明的，需提供主管部门官方通知证明（或官网公告截图）。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3)如</w:t>
      </w:r>
      <w:r>
        <w:rPr>
          <w:rFonts w:ascii="宋体" w:hAnsi="宋体" w:cs="宋体" w:hint="eastAsia"/>
          <w:b/>
          <w:bCs/>
          <w:highlight w:val="none"/>
          <w:lang w:val="en-US" w:eastAsia="zh-CN"/>
        </w:rPr>
        <w:t>投标（响应）供应商</w:t>
      </w:r>
      <w:r>
        <w:rPr>
          <w:rFonts w:ascii="宋体" w:eastAsia="宋体" w:hAnsi="宋体" w:cs="宋体" w:hint="eastAsia"/>
          <w:b/>
          <w:bCs/>
          <w:highlight w:val="none"/>
          <w:lang w:val="en-US" w:eastAsia="zh-CN"/>
        </w:rPr>
        <w:t>为新成立单位且成立时间不足一个月或相关人员任职不足一个月，无法提供社保证明的，应提供</w:t>
      </w:r>
      <w:r>
        <w:rPr>
          <w:rFonts w:ascii="宋体" w:hAnsi="宋体" w:cs="宋体" w:hint="eastAsia"/>
          <w:b/>
          <w:bCs/>
          <w:highlight w:val="none"/>
          <w:lang w:val="en-US" w:eastAsia="zh-CN"/>
        </w:rPr>
        <w:t>相关</w:t>
      </w:r>
      <w:r>
        <w:rPr>
          <w:rFonts w:ascii="宋体" w:eastAsia="宋体" w:hAnsi="宋体" w:cs="宋体" w:hint="eastAsia"/>
          <w:b/>
          <w:bCs/>
          <w:highlight w:val="none"/>
          <w:lang w:val="en-US" w:eastAsia="zh-CN"/>
        </w:rPr>
        <w:t>情况说明或者证明材料。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4)如为退休人员，无法提供社保证明的，应提供</w:t>
      </w:r>
      <w:r>
        <w:rPr>
          <w:rFonts w:ascii="宋体" w:hAnsi="宋体" w:cs="宋体" w:hint="eastAsia"/>
          <w:b/>
          <w:bCs/>
          <w:highlight w:val="none"/>
          <w:lang w:val="en-US" w:eastAsia="zh-CN"/>
        </w:rPr>
        <w:t>相关</w:t>
      </w:r>
      <w:r>
        <w:rPr>
          <w:rFonts w:ascii="宋体" w:eastAsia="宋体" w:hAnsi="宋体" w:cs="宋体" w:hint="eastAsia"/>
          <w:b/>
          <w:bCs/>
          <w:highlight w:val="none"/>
          <w:lang w:val="en-US" w:eastAsia="zh-CN"/>
        </w:rPr>
        <w:t>情况说明或者证明材料。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5)</w:t>
      </w:r>
      <w:r>
        <w:rPr>
          <w:rFonts w:ascii="宋体" w:hAnsi="宋体" w:cs="宋体" w:hint="eastAsia"/>
          <w:b/>
          <w:bCs/>
        </w:rPr>
        <w:t>如为依法不需要缴纳社会保险</w:t>
      </w:r>
      <w:r>
        <w:rPr>
          <w:rFonts w:ascii="宋体" w:hAnsi="宋体" w:cs="宋体" w:hint="eastAsia"/>
          <w:b/>
          <w:bCs/>
          <w:lang w:eastAsia="zh-CN"/>
        </w:rPr>
        <w:t>或因为单位特殊性质、人员特殊情况等原因无法提供社保证明</w:t>
      </w:r>
      <w:r>
        <w:rPr>
          <w:rFonts w:ascii="宋体" w:hAnsi="宋体" w:cs="宋体" w:hint="eastAsia"/>
          <w:b/>
          <w:bCs/>
        </w:rPr>
        <w:t>的</w:t>
      </w:r>
      <w:r>
        <w:rPr>
          <w:rFonts w:ascii="宋体" w:eastAsia="宋体" w:hAnsi="宋体" w:cs="宋体" w:hint="eastAsia"/>
          <w:b/>
          <w:bCs/>
          <w:highlight w:val="none"/>
          <w:lang w:val="en-US" w:eastAsia="zh-CN"/>
        </w:rPr>
        <w:t>，应提供</w:t>
      </w:r>
      <w:r>
        <w:rPr>
          <w:rFonts w:ascii="宋体" w:hAnsi="宋体" w:cs="宋体" w:hint="eastAsia"/>
          <w:b/>
          <w:bCs/>
          <w:highlight w:val="none"/>
          <w:lang w:val="en-US" w:eastAsia="zh-CN"/>
        </w:rPr>
        <w:t>相关</w:t>
      </w:r>
      <w:r>
        <w:rPr>
          <w:rFonts w:ascii="宋体" w:eastAsia="宋体" w:hAnsi="宋体" w:cs="宋体" w:hint="eastAsia"/>
          <w:b/>
          <w:bCs/>
          <w:highlight w:val="none"/>
          <w:lang w:val="en-US" w:eastAsia="zh-CN"/>
        </w:rPr>
        <w:t>情况说明或者证明材料。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6)如本项目未安排项目投标授权代表人、项目负责人、主要技术人员的，</w:t>
      </w:r>
      <w:r>
        <w:rPr>
          <w:rFonts w:ascii="宋体" w:hAnsi="宋体" w:cs="宋体" w:hint="eastAsia"/>
          <w:b/>
          <w:bCs/>
          <w:highlight w:val="none"/>
          <w:lang w:val="en-US" w:eastAsia="zh-CN"/>
        </w:rPr>
        <w:t>相关人员信息可填写“无”</w:t>
      </w:r>
      <w:r>
        <w:rPr>
          <w:rFonts w:ascii="宋体" w:eastAsia="宋体" w:hAnsi="宋体" w:cs="宋体" w:hint="eastAsia"/>
          <w:b/>
          <w:bCs/>
          <w:highlight w:val="none"/>
          <w:lang w:val="en-US" w:eastAsia="zh-CN"/>
        </w:rPr>
        <w:t>，无需提供</w:t>
      </w:r>
      <w:r>
        <w:rPr>
          <w:rFonts w:ascii="宋体" w:hAnsi="宋体" w:cs="宋体" w:hint="eastAsia"/>
          <w:b/>
          <w:bCs/>
          <w:highlight w:val="none"/>
          <w:lang w:val="en-US" w:eastAsia="zh-CN"/>
        </w:rPr>
        <w:t>未安排</w:t>
      </w:r>
      <w:r>
        <w:rPr>
          <w:rFonts w:ascii="宋体" w:eastAsia="宋体" w:hAnsi="宋体" w:cs="宋体" w:hint="eastAsia"/>
          <w:b/>
          <w:bCs/>
          <w:highlight w:val="none"/>
          <w:lang w:val="en-US" w:eastAsia="zh-CN"/>
        </w:rPr>
        <w:t>人员的社保</w:t>
      </w:r>
      <w:r>
        <w:rPr>
          <w:rFonts w:ascii="宋体" w:hAnsi="宋体" w:cs="宋体" w:hint="eastAsia"/>
          <w:b/>
          <w:bCs/>
          <w:highlight w:val="none"/>
          <w:lang w:val="en-US" w:eastAsia="zh-CN"/>
        </w:rPr>
        <w:t>证明</w:t>
      </w:r>
      <w:r>
        <w:rPr>
          <w:rFonts w:ascii="宋体" w:eastAsia="宋体" w:hAnsi="宋体" w:cs="宋体" w:hint="eastAsia"/>
          <w:b/>
          <w:bCs/>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7）本表中填报的人员姓名、身份证号码、缴纳社会保险单位应与社保证明材料中显示的信息相同。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hint="eastAsia"/>
          <w:b/>
          <w:bCs/>
          <w:highlight w:val="yellow"/>
          <w:lang w:val="en-US" w:eastAsia="zh-CN"/>
        </w:rPr>
      </w:pPr>
      <w:r>
        <w:rPr>
          <w:rFonts w:ascii="宋体" w:hAnsi="宋体" w:cs="宋体" w:hint="eastAsia"/>
          <w:b/>
          <w:bCs/>
          <w:highlight w:val="yellow"/>
          <w:lang w:val="en-US" w:eastAsia="zh-CN"/>
        </w:rPr>
        <w:t>8）投标（响应）供应商未按要求填报《供应商基本情况表》或未按要求提供证明材料的，将按投标（响应）无效处理。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none"/>
          <w:lang w:val="en-US" w:eastAsia="zh-CN"/>
        </w:rPr>
      </w:pPr>
      <w:r>
        <w:rPr>
          <w:rFonts w:ascii="宋体" w:eastAsia="宋体" w:hAnsi="宋体" w:cs="宋体" w:hint="eastAsia"/>
          <w:b/>
          <w:bCs/>
          <w:highlight w:val="none"/>
          <w:lang w:val="en-US" w:eastAsia="zh-CN"/>
        </w:rPr>
        <w:t>3、如审查发现</w:t>
      </w:r>
      <w:r>
        <w:rPr>
          <w:rFonts w:ascii="宋体" w:hAnsi="宋体" w:cs="宋体" w:hint="eastAsia"/>
          <w:b/>
          <w:bCs/>
          <w:highlight w:val="none"/>
          <w:lang w:val="en-US" w:eastAsia="zh-CN"/>
        </w:rPr>
        <w:t>投标（响应）供应商</w:t>
      </w:r>
      <w:r>
        <w:rPr>
          <w:rFonts w:ascii="宋体" w:eastAsia="宋体" w:hAnsi="宋体" w:cs="宋体" w:hint="eastAsia"/>
          <w:b/>
          <w:bCs/>
          <w:highlight w:val="none"/>
          <w:lang w:val="en-US" w:eastAsia="zh-CN"/>
        </w:rPr>
        <w:t>填报信息与其他平台查询结果不一致，将要求供应商在评审期间合理的时间内提供书面说明，供应商未按要求提供书面说明的，将导致</w:t>
      </w:r>
      <w:r>
        <w:rPr>
          <w:rFonts w:ascii="宋体" w:hAnsi="宋体" w:cs="宋体" w:hint="eastAsia"/>
          <w:b/>
          <w:bCs/>
          <w:highlight w:val="none"/>
          <w:lang w:val="en-US" w:eastAsia="zh-CN"/>
        </w:rPr>
        <w:t>投标（响应）无效</w:t>
      </w:r>
      <w:r>
        <w:rPr>
          <w:rFonts w:ascii="宋体" w:eastAsia="宋体" w:hAnsi="宋体" w:cs="宋体" w:hint="eastAsia"/>
          <w:b/>
          <w:bCs/>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eastAsia"/>
          <w:b/>
          <w:bCs/>
          <w:highlight w:val="yellow"/>
          <w:lang w:val="en-US" w:eastAsia="zh-CN"/>
        </w:rPr>
      </w:pPr>
    </w:p>
    <w:p>
      <w:pPr>
        <w:rPr>
          <w:rFonts w:hint="eastAsia"/>
          <w:szCs w:val="21"/>
          <w:u w:val="single"/>
        </w:rPr>
      </w:pPr>
      <w:r>
        <w:rPr>
          <w:rFonts w:hint="eastAsia"/>
          <w:szCs w:val="21"/>
          <w:u w:val="single"/>
        </w:rPr>
        <w:t>（备注：如为联合体投标，联合体各方</w:t>
      </w:r>
      <w:r>
        <w:rPr>
          <w:rFonts w:hint="eastAsia"/>
          <w:szCs w:val="21"/>
          <w:u w:val="single"/>
          <w:lang w:eastAsia="zh-CN"/>
        </w:rPr>
        <w:t>应分别填报《供应商基本情况表》</w:t>
      </w:r>
      <w:r>
        <w:rPr>
          <w:rFonts w:hint="eastAsia"/>
          <w:szCs w:val="21"/>
          <w:u w:val="singl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eastAsia="宋体" w:hAnsi="宋体" w:cs="宋体" w:hint="default"/>
          <w:b/>
          <w:bCs/>
          <w:highlight w:val="yellow"/>
          <w:lang w:val="en-US" w:eastAsia="zh-CN"/>
        </w:rPr>
      </w:pPr>
    </w:p>
    <w:p>
      <w:pPr>
        <w:keepNext/>
        <w:keepLines/>
        <w:spacing w:before="260" w:after="260"/>
        <w:jc w:val="center"/>
        <w:outlineLvl w:val="2"/>
        <w:rPr>
          <w:rFonts w:ascii="黑体" w:eastAsia="黑体" w:hAnsi="宋体" w:cs="Times New Roman" w:hint="eastAsia"/>
          <w:bCs/>
          <w:kern w:val="0"/>
          <w:sz w:val="24"/>
          <w:szCs w:val="32"/>
          <w:lang w:eastAsia="zh-CN"/>
        </w:rPr>
      </w:pPr>
      <w:r>
        <w:rPr>
          <w:rFonts w:ascii="黑体" w:eastAsia="黑体" w:hAnsi="宋体" w:cs="Times New Roman" w:hint="eastAsia"/>
          <w:bCs/>
          <w:kern w:val="0"/>
          <w:sz w:val="24"/>
          <w:szCs w:val="32"/>
          <w:lang w:eastAsia="zh-CN"/>
        </w:rPr>
        <w:t>个人社保缴纳明细截图</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spacing w:val="-6"/>
          <w:sz w:val="21"/>
          <w:szCs w:val="21"/>
        </w:rPr>
        <w:t>法定代表人/单位负责人/主要经营负责人</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eastAsia="宋体" w:hAnsi="宋体" w:cs="宋体" w:hint="eastAsia"/>
          <w:color w:val="auto"/>
          <w:sz w:val="21"/>
          <w:szCs w:val="21"/>
        </w:rPr>
      </w:pP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rPr>
        <w:t>2、项目投标授权代表人</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eastAsia="宋体" w:hAnsi="宋体" w:cs="宋体" w:hint="eastAsia"/>
          <w:color w:val="auto"/>
          <w:sz w:val="21"/>
          <w:szCs w:val="21"/>
        </w:rPr>
      </w:pP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3</w:t>
      </w:r>
      <w:r>
        <w:rPr>
          <w:rFonts w:ascii="宋体" w:eastAsia="宋体" w:hAnsi="宋体" w:cs="宋体" w:hint="eastAsia"/>
          <w:color w:val="auto"/>
          <w:sz w:val="21"/>
          <w:szCs w:val="21"/>
        </w:rPr>
        <w:t>、项目负责人</w:t>
      </w:r>
    </w:p>
    <w:p>
      <w:pPr>
        <w:keepNext w:val="0"/>
        <w:keepLines w:val="0"/>
        <w:pageBreakBefore w:val="0"/>
        <w:kinsoku/>
        <w:wordWrap/>
        <w:overflowPunct/>
        <w:topLinePunct w:val="0"/>
        <w:autoSpaceDE/>
        <w:autoSpaceDN/>
        <w:bidi w:val="0"/>
        <w:adjustRightInd/>
        <w:snapToGrid/>
        <w:spacing w:line="560" w:lineRule="exact"/>
        <w:textAlignment w:val="auto"/>
        <w:rPr>
          <w:rFonts w:ascii="宋体" w:eastAsia="宋体" w:hAnsi="宋体" w:cs="宋体" w:hint="eastAsia"/>
          <w:color w:val="auto"/>
          <w:sz w:val="21"/>
          <w:szCs w:val="21"/>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eastAsia="宋体" w:hAnsi="宋体" w:cs="宋体" w:hint="eastAsia"/>
          <w:color w:val="auto"/>
          <w:sz w:val="21"/>
          <w:szCs w:val="21"/>
        </w:rPr>
      </w:pPr>
    </w:p>
    <w:p>
      <w:pPr>
        <w:keepNext w:val="0"/>
        <w:keepLines w:val="0"/>
        <w:pageBreakBefore w:val="0"/>
        <w:numPr>
          <w:ilvl w:val="0"/>
          <w:numId w:val="0"/>
        </w:numPr>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r>
        <w:rPr>
          <w:rFonts w:ascii="宋体" w:eastAsia="宋体" w:hAnsi="宋体" w:cs="宋体" w:hint="eastAsia"/>
          <w:color w:val="auto"/>
          <w:kern w:val="2"/>
          <w:sz w:val="21"/>
          <w:szCs w:val="21"/>
          <w:lang w:val="en-US" w:eastAsia="zh-CN" w:bidi="ar-SA"/>
        </w:rPr>
        <w:t>4、</w:t>
      </w:r>
      <w:r>
        <w:rPr>
          <w:rFonts w:ascii="宋体" w:eastAsia="宋体" w:hAnsi="宋体" w:cs="宋体" w:hint="eastAsia"/>
          <w:color w:val="auto"/>
          <w:sz w:val="21"/>
          <w:szCs w:val="21"/>
        </w:rPr>
        <w:t>主要技术人员</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rPr>
      </w:pPr>
    </w:p>
    <w:p>
      <w:pPr>
        <w:keepNext w:val="0"/>
        <w:keepLines w:val="0"/>
        <w:pageBreakBefore w:val="0"/>
        <w:numPr>
          <w:ilvl w:val="0"/>
          <w:numId w:val="4"/>
        </w:numPr>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spacing w:val="-2"/>
          <w:sz w:val="21"/>
          <w:szCs w:val="21"/>
        </w:rPr>
      </w:pPr>
      <w:r>
        <w:rPr>
          <w:rFonts w:ascii="宋体" w:eastAsia="宋体" w:hAnsi="宋体" w:cs="宋体" w:hint="eastAsia"/>
          <w:spacing w:val="-2"/>
          <w:sz w:val="21"/>
          <w:szCs w:val="21"/>
        </w:rPr>
        <w:t>投标文件编制人员</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ascii="宋体" w:eastAsia="宋体" w:hAnsi="宋体" w:cs="宋体" w:hint="eastAsia"/>
          <w:spacing w:val="-2"/>
          <w:sz w:val="21"/>
          <w:szCs w:val="21"/>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eastAsia="宋体" w:hAnsi="宋体" w:cs="宋体" w:hint="eastAsia"/>
          <w:color w:val="auto"/>
          <w:sz w:val="21"/>
          <w:szCs w:val="21"/>
          <w:lang w:eastAsia="zh-CN"/>
        </w:rPr>
      </w:pP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lang w:val="en-US" w:eastAsia="zh-CN"/>
        </w:rPr>
      </w:pPr>
      <w:r>
        <w:rPr>
          <w:rFonts w:ascii="宋体" w:eastAsia="宋体" w:hAnsi="宋体" w:cs="宋体" w:hint="eastAsia"/>
          <w:color w:val="auto"/>
          <w:sz w:val="21"/>
          <w:szCs w:val="21"/>
          <w:lang w:val="en-US" w:eastAsia="zh-CN"/>
        </w:rPr>
        <w:t>其</w:t>
      </w:r>
      <w:r>
        <w:rPr>
          <w:rFonts w:ascii="宋体" w:eastAsia="宋体" w:hAnsi="宋体" w:cs="宋体" w:hint="eastAsia"/>
          <w:color w:val="auto"/>
          <w:sz w:val="21"/>
          <w:szCs w:val="21"/>
          <w:lang w:eastAsia="zh-CN"/>
        </w:rPr>
        <w:t>他说明材料：</w:t>
      </w:r>
      <w:r>
        <w:rPr>
          <w:rFonts w:ascii="宋体" w:eastAsia="宋体" w:hAnsi="宋体" w:cs="宋体" w:hint="eastAsia"/>
          <w:color w:val="auto"/>
          <w:sz w:val="21"/>
          <w:szCs w:val="21"/>
          <w:lang w:val="en-US" w:eastAsia="zh-CN"/>
        </w:rPr>
        <w:t>(</w:t>
      </w:r>
      <w:r>
        <w:rPr>
          <w:rFonts w:ascii="宋体" w:eastAsia="宋体" w:hAnsi="宋体" w:cs="宋体" w:hint="eastAsia"/>
          <w:color w:val="auto"/>
          <w:sz w:val="21"/>
          <w:szCs w:val="21"/>
        </w:rPr>
        <w:t>可以</w:t>
      </w:r>
      <w:r>
        <w:rPr>
          <w:rFonts w:ascii="宋体" w:eastAsia="宋体" w:hAnsi="宋体" w:cs="宋体" w:hint="eastAsia"/>
          <w:color w:val="auto"/>
          <w:sz w:val="21"/>
          <w:szCs w:val="21"/>
          <w:lang w:eastAsia="zh-CN"/>
        </w:rPr>
        <w:t>根据项目情况</w:t>
      </w:r>
      <w:r>
        <w:rPr>
          <w:rFonts w:ascii="宋体" w:eastAsia="宋体" w:hAnsi="宋体" w:cs="宋体" w:hint="eastAsia"/>
          <w:color w:val="auto"/>
          <w:sz w:val="21"/>
          <w:szCs w:val="21"/>
        </w:rPr>
        <w:t>增添附件</w:t>
      </w:r>
      <w:r>
        <w:rPr>
          <w:rFonts w:ascii="宋体" w:eastAsia="宋体" w:hAnsi="宋体" w:cs="宋体" w:hint="eastAsia"/>
          <w:color w:val="auto"/>
          <w:sz w:val="21"/>
          <w:szCs w:val="21"/>
          <w:lang w:val="en-US" w:eastAsia="zh-CN"/>
        </w:rPr>
        <w:t>)</w:t>
      </w: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rPr>
          <w:rFonts w:ascii="宋体" w:eastAsia="宋体" w:hAnsi="宋体" w:cs="宋体" w:hint="eastAsia"/>
          <w:color w:val="auto"/>
          <w:sz w:val="21"/>
          <w:szCs w:val="21"/>
          <w:lang w:val="en-US" w:eastAsia="zh-CN"/>
        </w:rPr>
      </w:pPr>
    </w:p>
    <w:p>
      <w:pPr>
        <w:rPr>
          <w:rFonts w:ascii="宋体" w:eastAsia="宋体" w:hAnsi="宋体" w:cs="宋体" w:hint="eastAsia"/>
          <w:color w:val="auto"/>
          <w:sz w:val="21"/>
          <w:szCs w:val="21"/>
          <w:lang w:val="en-US" w:eastAsia="zh-CN"/>
        </w:rPr>
      </w:pPr>
    </w:p>
    <w:p>
      <w:pPr>
        <w:rPr>
          <w:rFonts w:ascii="宋体" w:eastAsia="宋体" w:hAnsi="宋体" w:cs="宋体" w:hint="eastAsia"/>
          <w:color w:val="auto"/>
          <w:sz w:val="21"/>
          <w:szCs w:val="21"/>
          <w:lang w:val="en-US" w:eastAsia="zh-CN"/>
        </w:rPr>
      </w:pPr>
    </w:p>
    <w:p>
      <w:pPr>
        <w:ind w:left="0" w:firstLine="420" w:leftChars="0" w:firstLineChars="200"/>
        <w:rPr>
          <w:rFonts w:ascii="黑体" w:eastAsia="黑体" w:hAnsi="宋体" w:hint="eastAsia"/>
          <w:bCs/>
          <w:kern w:val="0"/>
          <w:sz w:val="24"/>
          <w:szCs w:val="32"/>
        </w:rPr>
      </w:pPr>
      <w:r>
        <w:rPr>
          <w:rFonts w:ascii="宋体" w:eastAsia="宋体" w:hAnsi="宋体" w:cs="宋体" w:hint="eastAsia"/>
          <w:color w:val="auto"/>
          <w:sz w:val="21"/>
          <w:szCs w:val="21"/>
          <w:lang w:val="en-US" w:eastAsia="zh-CN"/>
        </w:rPr>
        <w:t>注：同一人员兼任不同职务的，可以合并提供社保等证明材料，本格式仅供参考。</w:t>
      </w:r>
      <w:r>
        <w:rPr>
          <w:rFonts w:ascii="黑体" w:eastAsia="黑体" w:hAnsi="宋体" w:hint="eastAsia"/>
          <w:bCs/>
          <w:kern w:val="0"/>
          <w:sz w:val="24"/>
          <w:szCs w:val="32"/>
        </w:rPr>
        <w:br w:type="page"/>
      </w:r>
    </w:p>
    <w:p>
      <w:pPr>
        <w:keepNext/>
        <w:keepLines/>
        <w:spacing w:before="260" w:after="260"/>
        <w:jc w:val="center"/>
        <w:outlineLvl w:val="2"/>
        <w:rPr>
          <w:rFonts w:ascii="黑体" w:eastAsia="黑体" w:hAnsi="宋体"/>
          <w:bCs/>
          <w:kern w:val="0"/>
          <w:sz w:val="24"/>
          <w:szCs w:val="32"/>
        </w:rPr>
      </w:pPr>
      <w:r>
        <w:rPr>
          <w:rFonts w:ascii="黑体" w:eastAsia="黑体" w:hAnsi="宋体" w:hint="eastAsia"/>
          <w:bCs/>
          <w:kern w:val="0"/>
          <w:sz w:val="24"/>
          <w:szCs w:val="32"/>
          <w:lang w:val="en-US" w:eastAsia="zh-CN"/>
        </w:rPr>
        <w:t>五</w:t>
      </w:r>
      <w:r>
        <w:rPr>
          <w:rFonts w:ascii="黑体" w:eastAsia="黑体" w:hAnsi="宋体" w:hint="eastAsia"/>
          <w:bCs/>
          <w:kern w:val="0"/>
          <w:sz w:val="24"/>
          <w:szCs w:val="32"/>
        </w:rPr>
        <w:t>、法定代表人（负责人）资格证明书</w:t>
      </w:r>
    </w:p>
    <w:p>
      <w:pPr>
        <w:rPr>
          <w:rFonts w:ascii="Times New Roman" w:hAnsi="Times New Roman"/>
          <w:sz w:val="24"/>
          <w:szCs w:val="24"/>
        </w:rPr>
      </w:pPr>
    </w:p>
    <w:p>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u w:val="single"/>
        </w:rPr>
        <w:t xml:space="preserve">         </w:t>
      </w:r>
      <w:r>
        <w:rPr>
          <w:rFonts w:ascii="Times New Roman" w:hAnsi="Times New Roman" w:hint="eastAsia"/>
          <w:szCs w:val="21"/>
        </w:rPr>
        <w:t>同志，现任我单位</w:t>
      </w:r>
      <w:r>
        <w:rPr>
          <w:rFonts w:ascii="Times New Roman" w:hAnsi="Times New Roman" w:hint="eastAsia"/>
          <w:szCs w:val="21"/>
          <w:u w:val="single"/>
        </w:rPr>
        <w:t xml:space="preserve">         </w:t>
      </w:r>
      <w:r>
        <w:rPr>
          <w:rFonts w:ascii="Times New Roman" w:hAnsi="Times New Roman" w:hint="eastAsia"/>
          <w:szCs w:val="21"/>
        </w:rPr>
        <w:t>职务，为法定代表人</w:t>
      </w:r>
      <w:r>
        <w:rPr>
          <w:rFonts w:ascii="黑体" w:eastAsia="黑体" w:hAnsi="Times New Roman" w:hint="eastAsia"/>
          <w:b/>
          <w:kern w:val="0"/>
          <w:sz w:val="24"/>
          <w:szCs w:val="24"/>
        </w:rPr>
        <w:t>（负责人）</w:t>
      </w:r>
      <w:r>
        <w:rPr>
          <w:rFonts w:ascii="Times New Roman" w:hAnsi="Times New Roman" w:hint="eastAsia"/>
          <w:szCs w:val="21"/>
        </w:rPr>
        <w:t>，特此证明。</w:t>
      </w:r>
    </w:p>
    <w:p>
      <w:pPr>
        <w:spacing w:line="360" w:lineRule="auto"/>
        <w:rPr>
          <w:rFonts w:ascii="Times New Roman" w:hAnsi="Times New Roman"/>
          <w:szCs w:val="21"/>
        </w:rPr>
      </w:pPr>
      <w:r>
        <w:rPr>
          <w:rFonts w:ascii="Times New Roman" w:hAnsi="Times New Roman" w:hint="eastAsia"/>
          <w:szCs w:val="21"/>
        </w:rPr>
        <w:t>说明：1、法定代表人为企业事业单位、国家机关、社会团体的主要负责人。</w:t>
      </w:r>
    </w:p>
    <w:p>
      <w:pPr>
        <w:rPr>
          <w:rFonts w:ascii="Times New Roman" w:hAnsi="Times New Roman"/>
          <w:szCs w:val="21"/>
        </w:rPr>
      </w:pPr>
      <w:r>
        <w:rPr>
          <w:rFonts w:ascii="Times New Roman" w:hAnsi="Times New Roman" w:hint="eastAsia"/>
          <w:szCs w:val="21"/>
        </w:rPr>
        <w:t xml:space="preserve">      2、内容必须填写真实、清楚，涂改无效，不得转让、买卖。</w:t>
      </w:r>
    </w:p>
    <w:p>
      <w:pPr>
        <w:spacing w:line="360" w:lineRule="auto"/>
        <w:rPr>
          <w:rFonts w:ascii="Times New Roman" w:hAnsi="Times New Roman"/>
          <w:b/>
          <w:szCs w:val="21"/>
        </w:rPr>
      </w:pPr>
    </w:p>
    <w:p>
      <w:pPr>
        <w:spacing w:line="360" w:lineRule="auto"/>
        <w:rPr>
          <w:rFonts w:ascii="Times New Roman" w:hAnsi="Times New Roman"/>
          <w:b/>
          <w:sz w:val="24"/>
          <w:szCs w:val="24"/>
        </w:rPr>
      </w:pPr>
      <w:r>
        <w:rPr>
          <w:rFonts w:ascii="Times New Roman" w:hAnsi="Times New Roman" w:hint="eastAsia"/>
          <w:b/>
          <w:sz w:val="24"/>
          <w:szCs w:val="24"/>
        </w:rPr>
        <w:t>附：要求必须提供法定代表人（负责人）身份证扫描件（正反两面）</w:t>
      </w:r>
      <w:r>
        <w:rPr>
          <w:rFonts w:ascii="Times New Roman" w:hAnsi="Times New Roman" w:hint="eastAsia"/>
          <w:b/>
          <w:sz w:val="24"/>
          <w:szCs w:val="24"/>
          <w:lang w:eastAsia="zh-CN"/>
        </w:rPr>
        <w:t>且在有效期限内</w:t>
      </w:r>
      <w:r>
        <w:rPr>
          <w:rFonts w:ascii="Times New Roman" w:hAnsi="Times New Roman" w:hint="eastAsia"/>
          <w:b/>
          <w:sz w:val="24"/>
          <w:szCs w:val="24"/>
        </w:rPr>
        <w:t>。</w:t>
      </w:r>
    </w:p>
    <w:p>
      <w:pPr>
        <w:spacing w:line="360" w:lineRule="auto"/>
        <w:rPr>
          <w:rFonts w:ascii="Times New Roman" w:hAnsi="Times New Roman"/>
          <w:b/>
          <w:sz w:val="24"/>
          <w:szCs w:val="24"/>
        </w:rPr>
      </w:pPr>
    </w:p>
    <w:p>
      <w:pPr>
        <w:rPr>
          <w:rFonts w:ascii="宋体" w:hAnsi="宋体"/>
          <w:szCs w:val="21"/>
        </w:rPr>
      </w:pPr>
      <w:r>
        <w:rPr>
          <w:rFonts w:hint="eastAsia"/>
          <w:szCs w:val="21"/>
          <w:u w:val="single"/>
        </w:rPr>
        <w:t>（备注：如联合体投标，单位一栏仅需填写牵头人的名称）</w:t>
      </w:r>
    </w:p>
    <w:p>
      <w:pPr>
        <w:spacing w:line="360" w:lineRule="auto"/>
        <w:rPr>
          <w:rFonts w:ascii="Times New Roman" w:hAnsi="Times New Roman" w:hint="eastAsia"/>
          <w:b/>
          <w:sz w:val="24"/>
          <w:szCs w:val="24"/>
          <w:lang w:val="en-US" w:eastAsia="zh-CN"/>
        </w:rPr>
      </w:pPr>
    </w:p>
    <w:p>
      <w:pPr>
        <w:spacing w:line="360" w:lineRule="auto"/>
        <w:rPr>
          <w:rFonts w:ascii="Times New Roman" w:hAnsi="Times New Roman" w:hint="eastAsia"/>
          <w:b/>
          <w:sz w:val="24"/>
          <w:szCs w:val="24"/>
          <w:lang w:val="en-US" w:eastAsia="zh-CN"/>
        </w:rPr>
      </w:pPr>
      <w:r>
        <w:rPr>
          <w:rFonts w:ascii="Times New Roman" w:hAnsi="Times New Roman" w:hint="eastAsia"/>
          <w:b/>
          <w:sz w:val="24"/>
          <w:szCs w:val="24"/>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NoSpacing"/>
        <w:rPr>
          <w:rFonts w:hint="eastAsia"/>
        </w:rPr>
      </w:pPr>
    </w:p>
    <w:p>
      <w:pPr>
        <w:keepNext/>
        <w:keepLines/>
        <w:spacing w:before="260" w:after="260"/>
        <w:jc w:val="center"/>
        <w:outlineLvl w:val="2"/>
        <w:rPr>
          <w:rFonts w:ascii="黑体" w:eastAsia="黑体" w:hAnsi="宋体"/>
          <w:bCs/>
          <w:sz w:val="24"/>
          <w:szCs w:val="24"/>
        </w:rPr>
      </w:pPr>
      <w:r>
        <w:rPr>
          <w:rFonts w:ascii="宋体" w:hAnsi="宋体"/>
          <w:b/>
          <w:bCs/>
          <w:sz w:val="28"/>
          <w:szCs w:val="32"/>
        </w:rPr>
        <w:tab/>
      </w:r>
      <w:r>
        <w:rPr>
          <w:rFonts w:ascii="黑体" w:eastAsia="黑体" w:hAnsi="宋体" w:hint="eastAsia"/>
          <w:bCs/>
          <w:kern w:val="0"/>
          <w:sz w:val="24"/>
          <w:szCs w:val="24"/>
          <w:lang w:val="en-US" w:eastAsia="zh-CN"/>
        </w:rPr>
        <w:t>六</w:t>
      </w:r>
      <w:r>
        <w:rPr>
          <w:rFonts w:ascii="黑体" w:eastAsia="黑体" w:hAnsi="宋体" w:hint="eastAsia"/>
          <w:bCs/>
          <w:kern w:val="0"/>
          <w:sz w:val="24"/>
          <w:szCs w:val="24"/>
        </w:rPr>
        <w:t>、投标文件签署授权委托书</w:t>
      </w:r>
    </w:p>
    <w:p>
      <w:pPr>
        <w:spacing w:line="360" w:lineRule="auto"/>
        <w:ind w:firstLine="420" w:firstLineChars="200"/>
        <w:rPr>
          <w:rFonts w:ascii="Times New Roman" w:hAnsi="Times New Roman"/>
          <w:szCs w:val="21"/>
        </w:rPr>
      </w:pPr>
      <w:r>
        <w:rPr>
          <w:rFonts w:ascii="Times New Roman" w:hAnsi="Times New Roman" w:hint="eastAsia"/>
          <w:szCs w:val="21"/>
        </w:rPr>
        <w:t>本授权委托书声明：我</w:t>
      </w:r>
      <w:r>
        <w:rPr>
          <w:rFonts w:ascii="Times New Roman" w:hAnsi="Times New Roman" w:hint="eastAsia"/>
          <w:szCs w:val="21"/>
          <w:u w:val="single"/>
        </w:rPr>
        <w:t xml:space="preserve">           </w:t>
      </w:r>
      <w:r>
        <w:rPr>
          <w:rFonts w:ascii="Times New Roman" w:hAnsi="Times New Roman" w:hint="eastAsia"/>
          <w:szCs w:val="21"/>
        </w:rPr>
        <w:t>（姓名）系</w:t>
      </w:r>
      <w:r>
        <w:rPr>
          <w:rFonts w:ascii="Times New Roman" w:hAnsi="Times New Roman" w:hint="eastAsia"/>
          <w:szCs w:val="21"/>
          <w:u w:val="single"/>
        </w:rPr>
        <w:t xml:space="preserve">             </w:t>
      </w:r>
      <w:r>
        <w:rPr>
          <w:rFonts w:ascii="Times New Roman" w:hAnsi="Times New Roman" w:hint="eastAsia"/>
          <w:szCs w:val="21"/>
        </w:rPr>
        <w:t>（投标供应商名称）的法定代表人</w:t>
      </w:r>
      <w:r>
        <w:rPr>
          <w:rFonts w:ascii="黑体" w:eastAsia="黑体" w:hAnsi="Times New Roman" w:hint="eastAsia"/>
          <w:b/>
          <w:kern w:val="0"/>
          <w:sz w:val="24"/>
          <w:szCs w:val="24"/>
        </w:rPr>
        <w:t>（负责人）</w:t>
      </w:r>
      <w:r>
        <w:rPr>
          <w:rFonts w:ascii="Times New Roman" w:hAnsi="Times New Roman" w:hint="eastAsia"/>
          <w:szCs w:val="21"/>
        </w:rPr>
        <w:t>，现授权委托</w:t>
      </w:r>
      <w:r>
        <w:rPr>
          <w:rFonts w:ascii="Times New Roman" w:hAnsi="Times New Roman" w:hint="eastAsia"/>
          <w:szCs w:val="21"/>
          <w:u w:val="single"/>
        </w:rPr>
        <w:t xml:space="preserve">            </w:t>
      </w:r>
      <w:r>
        <w:rPr>
          <w:rFonts w:ascii="Times New Roman" w:hAnsi="Times New Roman" w:hint="eastAsia"/>
          <w:szCs w:val="21"/>
        </w:rPr>
        <w:t>（姓名）为我公司签署本项目已递交的投标文件的法定代表人的授权委托代理人，代理人全权代表我所签署的本项目已递交的投标文件内容我均承认。</w:t>
      </w:r>
    </w:p>
    <w:p>
      <w:pPr>
        <w:spacing w:line="360" w:lineRule="auto"/>
        <w:ind w:firstLine="420"/>
        <w:rPr>
          <w:rFonts w:ascii="Times New Roman" w:hAnsi="Times New Roman"/>
          <w:szCs w:val="21"/>
        </w:rPr>
      </w:pPr>
      <w:r>
        <w:rPr>
          <w:rFonts w:ascii="Times New Roman" w:hAnsi="Times New Roman" w:hint="eastAsia"/>
          <w:szCs w:val="21"/>
        </w:rPr>
        <w:t>代理人无转委托权，特此委托。</w:t>
      </w:r>
    </w:p>
    <w:p>
      <w:pPr>
        <w:spacing w:line="360" w:lineRule="auto"/>
        <w:ind w:firstLine="420"/>
        <w:rPr>
          <w:rFonts w:ascii="Times New Roman" w:hAnsi="Times New Roman"/>
          <w:szCs w:val="21"/>
        </w:rPr>
      </w:pPr>
    </w:p>
    <w:p>
      <w:pPr>
        <w:spacing w:line="360" w:lineRule="auto"/>
        <w:ind w:left="540" w:leftChars="257"/>
        <w:rPr>
          <w:rFonts w:ascii="Times New Roman" w:hAnsi="Times New Roman"/>
          <w:szCs w:val="21"/>
          <w:u w:val="single"/>
        </w:rPr>
      </w:pPr>
      <w:r>
        <w:rPr>
          <w:rFonts w:ascii="Times New Roman" w:hAnsi="Times New Roman" w:hint="eastAsia"/>
          <w:szCs w:val="21"/>
        </w:rPr>
        <w:t>代理人：</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rPr>
      </w:pPr>
      <w:r>
        <w:rPr>
          <w:rFonts w:ascii="Times New Roman" w:hAnsi="Times New Roman" w:hint="eastAsia"/>
          <w:szCs w:val="21"/>
        </w:rPr>
        <w:t>联系电话：</w:t>
      </w:r>
      <w:r>
        <w:rPr>
          <w:rFonts w:ascii="Times New Roman" w:hAnsi="Times New Roman" w:hint="eastAsia"/>
          <w:szCs w:val="21"/>
          <w:u w:val="single"/>
        </w:rPr>
        <w:t xml:space="preserve">            </w:t>
      </w:r>
      <w:r>
        <w:rPr>
          <w:rFonts w:ascii="Times New Roman" w:hAnsi="Times New Roman" w:hint="eastAsia"/>
          <w:szCs w:val="21"/>
        </w:rPr>
        <w:t xml:space="preserve">  手机：</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u w:val="single"/>
        </w:rPr>
      </w:pPr>
      <w:r>
        <w:rPr>
          <w:rFonts w:ascii="Times New Roman" w:hAnsi="Times New Roman" w:hint="eastAsia"/>
          <w:szCs w:val="21"/>
        </w:rPr>
        <w:t>身份证号码：</w:t>
      </w:r>
      <w:r>
        <w:rPr>
          <w:rFonts w:ascii="Times New Roman" w:hAnsi="Times New Roman" w:hint="eastAsia"/>
          <w:szCs w:val="21"/>
          <w:u w:val="single"/>
        </w:rPr>
        <w:t xml:space="preserve">                        </w:t>
      </w:r>
      <w:r>
        <w:rPr>
          <w:rFonts w:ascii="Times New Roman" w:hAnsi="Times New Roman" w:hint="eastAsia"/>
          <w:szCs w:val="21"/>
        </w:rPr>
        <w:t>职务：</w:t>
      </w:r>
      <w:r>
        <w:rPr>
          <w:rFonts w:ascii="Times New Roman" w:hAnsi="Times New Roman" w:hint="eastAsia"/>
          <w:szCs w:val="21"/>
          <w:u w:val="single"/>
        </w:rPr>
        <w:t xml:space="preserve">       </w:t>
      </w:r>
    </w:p>
    <w:p>
      <w:pPr>
        <w:spacing w:line="360" w:lineRule="auto"/>
        <w:ind w:left="540" w:leftChars="257"/>
        <w:rPr>
          <w:rFonts w:ascii="Times New Roman" w:hAnsi="Times New Roman"/>
          <w:szCs w:val="21"/>
        </w:rPr>
      </w:pPr>
      <w:r>
        <w:rPr>
          <w:rFonts w:ascii="Times New Roman" w:hAnsi="Times New Roman" w:hint="eastAsia"/>
          <w:szCs w:val="21"/>
        </w:rPr>
        <w:t>授权委托日期：</w:t>
      </w:r>
      <w:r>
        <w:rPr>
          <w:rFonts w:ascii="Times New Roman" w:hAnsi="Times New Roman" w:hint="eastAsia"/>
          <w:szCs w:val="21"/>
          <w:u w:val="single"/>
        </w:rPr>
        <w:t xml:space="preserve">         </w:t>
      </w:r>
      <w:r>
        <w:rPr>
          <w:rFonts w:ascii="Times New Roman" w:hAnsi="Times New Roman" w:hint="eastAsia"/>
          <w:szCs w:val="21"/>
        </w:rPr>
        <w:t>年</w:t>
      </w:r>
      <w:r>
        <w:rPr>
          <w:rFonts w:ascii="Times New Roman" w:hAnsi="Times New Roman" w:hint="eastAsia"/>
          <w:szCs w:val="21"/>
          <w:u w:val="single"/>
        </w:rPr>
        <w:t xml:space="preserve">     </w:t>
      </w:r>
      <w:r>
        <w:rPr>
          <w:rFonts w:ascii="Times New Roman" w:hAnsi="Times New Roman" w:hint="eastAsia"/>
          <w:szCs w:val="21"/>
        </w:rPr>
        <w:t xml:space="preserve">月 </w:t>
      </w:r>
      <w:r>
        <w:rPr>
          <w:rFonts w:ascii="Times New Roman" w:hAnsi="Times New Roman" w:hint="eastAsia"/>
          <w:szCs w:val="21"/>
          <w:u w:val="single"/>
        </w:rPr>
        <w:t xml:space="preserve">      </w:t>
      </w:r>
      <w:r>
        <w:rPr>
          <w:rFonts w:ascii="Times New Roman" w:hAnsi="Times New Roman" w:hint="eastAsia"/>
          <w:szCs w:val="21"/>
        </w:rPr>
        <w:t>日</w:t>
      </w:r>
    </w:p>
    <w:p>
      <w:pPr>
        <w:spacing w:line="360" w:lineRule="auto"/>
        <w:ind w:left="540" w:leftChars="257"/>
        <w:rPr>
          <w:rFonts w:ascii="Times New Roman" w:hAnsi="Times New Roman"/>
          <w:szCs w:val="21"/>
          <w:u w:val="single"/>
        </w:rPr>
      </w:pPr>
    </w:p>
    <w:p>
      <w:pPr>
        <w:spacing w:line="360" w:lineRule="auto"/>
        <w:rPr>
          <w:rFonts w:ascii="Times New Roman" w:hAnsi="Times New Roman"/>
          <w:b/>
          <w:sz w:val="24"/>
          <w:szCs w:val="24"/>
        </w:rPr>
      </w:pPr>
      <w:r>
        <w:rPr>
          <w:rFonts w:ascii="Times New Roman" w:hAnsi="Times New Roman" w:hint="eastAsia"/>
          <w:b/>
          <w:sz w:val="24"/>
          <w:szCs w:val="24"/>
        </w:rPr>
        <w:t>附：要求必须提供代理人身份证扫描件（正反两面）</w:t>
      </w:r>
      <w:r>
        <w:rPr>
          <w:rFonts w:ascii="Times New Roman" w:hAnsi="Times New Roman" w:hint="eastAsia"/>
          <w:b/>
          <w:sz w:val="24"/>
          <w:szCs w:val="24"/>
          <w:lang w:eastAsia="zh-CN"/>
        </w:rPr>
        <w:t>且在有效期限内</w:t>
      </w:r>
      <w:r>
        <w:rPr>
          <w:rFonts w:ascii="Times New Roman" w:hAnsi="Times New Roman" w:hint="eastAsia"/>
          <w:b/>
          <w:sz w:val="24"/>
          <w:szCs w:val="24"/>
        </w:rPr>
        <w:t>。</w:t>
      </w:r>
    </w:p>
    <w:p>
      <w:pPr>
        <w:rPr>
          <w:szCs w:val="21"/>
          <w:u w:val="single"/>
        </w:rPr>
      </w:pPr>
    </w:p>
    <w:p>
      <w:pPr>
        <w:rPr>
          <w:rFonts w:ascii="宋体" w:hAnsi="宋体"/>
          <w:szCs w:val="21"/>
        </w:rPr>
      </w:pPr>
      <w:r>
        <w:rPr>
          <w:rFonts w:hint="eastAsia"/>
          <w:szCs w:val="21"/>
          <w:u w:val="single"/>
        </w:rPr>
        <w:t>（备注：如联合体投标，投标供应商名称一栏仅需填写牵头人的名称）</w:t>
      </w:r>
    </w:p>
    <w:p>
      <w:pPr>
        <w:spacing w:line="360" w:lineRule="auto"/>
        <w:rPr>
          <w:rFonts w:ascii="黑体" w:eastAsia="黑体"/>
          <w:b/>
          <w:sz w:val="24"/>
        </w:rPr>
      </w:pPr>
    </w:p>
    <w:p>
      <w:pPr>
        <w:spacing w:line="360" w:lineRule="auto"/>
        <w:rPr>
          <w:rFonts w:ascii="Times New Roman" w:hAnsi="Times New Roman" w:hint="eastAsia"/>
          <w:b/>
          <w:sz w:val="24"/>
          <w:szCs w:val="24"/>
          <w:lang w:val="en-US" w:eastAsia="zh-CN"/>
        </w:rPr>
      </w:pPr>
      <w:r>
        <w:rPr>
          <w:rFonts w:ascii="Times New Roman" w:hAnsi="Times New Roman" w:hint="eastAsia"/>
          <w:b/>
          <w:sz w:val="24"/>
          <w:szCs w:val="24"/>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NoSpacing"/>
      </w:pPr>
    </w:p>
    <w:p>
      <w:pPr>
        <w:keepNext/>
        <w:keepLines/>
        <w:spacing w:before="260" w:after="260"/>
        <w:jc w:val="center"/>
        <w:outlineLvl w:val="2"/>
        <w:rPr>
          <w:rFonts w:ascii="黑体" w:eastAsia="黑体" w:hAnsi="宋体"/>
          <w:bCs/>
          <w:kern w:val="0"/>
          <w:sz w:val="24"/>
          <w:szCs w:val="24"/>
        </w:rPr>
      </w:pPr>
      <w:r>
        <w:rPr>
          <w:rFonts w:ascii="黑体" w:eastAsia="黑体" w:hAnsi="宋体" w:hint="eastAsia"/>
          <w:bCs/>
          <w:kern w:val="0"/>
          <w:sz w:val="24"/>
          <w:szCs w:val="24"/>
          <w:lang w:val="en-US" w:eastAsia="zh-CN"/>
        </w:rPr>
        <w:t>七</w:t>
      </w:r>
      <w:r>
        <w:rPr>
          <w:rFonts w:ascii="黑体" w:eastAsia="黑体" w:hAnsi="宋体" w:hint="eastAsia"/>
          <w:bCs/>
          <w:kern w:val="0"/>
          <w:sz w:val="24"/>
          <w:szCs w:val="24"/>
        </w:rPr>
        <w:t>、实质性条款响应情况表</w:t>
      </w:r>
    </w:p>
    <w:tbl>
      <w:tblPr>
        <w:tblStyle w:val="TableNormal"/>
        <w:tblW w:w="9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4790"/>
        <w:gridCol w:w="3685"/>
      </w:tblGrid>
      <w:tr>
        <w:tblPrEx>
          <w:tblW w:w="91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tcPr>
          <w:p>
            <w:pPr>
              <w:adjustRightInd w:val="0"/>
              <w:snapToGrid w:val="0"/>
              <w:spacing w:line="360" w:lineRule="auto"/>
              <w:jc w:val="center"/>
              <w:rPr>
                <w:rFonts w:ascii="宋体" w:hAnsi="宋体"/>
                <w:kern w:val="0"/>
                <w:szCs w:val="21"/>
              </w:rPr>
            </w:pPr>
            <w:r>
              <w:rPr>
                <w:rFonts w:ascii="宋体" w:hAnsi="宋体" w:hint="eastAsia"/>
                <w:kern w:val="0"/>
                <w:szCs w:val="21"/>
              </w:rPr>
              <w:t>序号</w:t>
            </w:r>
          </w:p>
        </w:tc>
        <w:tc>
          <w:tcPr>
            <w:tcW w:w="4790" w:type="dxa"/>
          </w:tcPr>
          <w:p>
            <w:pPr>
              <w:adjustRightInd w:val="0"/>
              <w:snapToGrid w:val="0"/>
              <w:spacing w:line="360" w:lineRule="auto"/>
              <w:jc w:val="center"/>
              <w:rPr>
                <w:rFonts w:ascii="宋体" w:hAnsi="宋体"/>
                <w:kern w:val="0"/>
                <w:szCs w:val="21"/>
              </w:rPr>
            </w:pPr>
            <w:r>
              <w:rPr>
                <w:rFonts w:ascii="宋体" w:hAnsi="宋体" w:hint="eastAsia"/>
                <w:kern w:val="0"/>
                <w:szCs w:val="21"/>
              </w:rPr>
              <w:t>采购人要求内容</w:t>
            </w:r>
          </w:p>
        </w:tc>
        <w:tc>
          <w:tcPr>
            <w:tcW w:w="3685" w:type="dxa"/>
          </w:tcPr>
          <w:p>
            <w:pPr>
              <w:adjustRightInd w:val="0"/>
              <w:snapToGrid w:val="0"/>
              <w:spacing w:line="360" w:lineRule="auto"/>
              <w:jc w:val="center"/>
              <w:rPr>
                <w:rFonts w:ascii="宋体" w:hAnsi="宋体"/>
                <w:kern w:val="0"/>
                <w:szCs w:val="21"/>
              </w:rPr>
            </w:pPr>
            <w:r>
              <w:rPr>
                <w:rFonts w:ascii="宋体" w:hAnsi="宋体" w:hint="eastAsia"/>
                <w:kern w:val="0"/>
                <w:szCs w:val="21"/>
              </w:rPr>
              <w:t>投标人响应情况</w:t>
            </w:r>
          </w:p>
        </w:tc>
      </w:tr>
      <w:tr>
        <w:tblPrEx>
          <w:tblW w:w="9180" w:type="dxa"/>
          <w:tblInd w:w="0" w:type="dxa"/>
          <w:tblLayout w:type="fixed"/>
          <w:tblCellMar>
            <w:top w:w="0" w:type="dxa"/>
            <w:left w:w="108" w:type="dxa"/>
            <w:bottom w:w="0" w:type="dxa"/>
            <w:right w:w="108" w:type="dxa"/>
          </w:tblCellMar>
        </w:tblPrEx>
        <w:tc>
          <w:tcPr>
            <w:tcW w:w="705" w:type="dxa"/>
          </w:tcPr>
          <w:p>
            <w:pPr>
              <w:adjustRightInd w:val="0"/>
              <w:snapToGrid w:val="0"/>
              <w:spacing w:line="360" w:lineRule="auto"/>
              <w:rPr>
                <w:rFonts w:ascii="宋体" w:hAnsi="宋体"/>
                <w:kern w:val="0"/>
                <w:szCs w:val="21"/>
              </w:rPr>
            </w:pPr>
            <w:r>
              <w:rPr>
                <w:rFonts w:ascii="宋体" w:hAnsi="宋体" w:hint="eastAsia"/>
                <w:kern w:val="0"/>
                <w:szCs w:val="21"/>
              </w:rPr>
              <w:t>1</w:t>
            </w:r>
          </w:p>
        </w:tc>
        <w:tc>
          <w:tcPr>
            <w:tcW w:w="4790" w:type="dxa"/>
          </w:tcPr>
          <w:p>
            <w:pPr>
              <w:keepNext/>
              <w:keepLines/>
              <w:tabs>
                <w:tab w:val="left" w:pos="765"/>
              </w:tabs>
              <w:spacing w:line="376" w:lineRule="auto"/>
              <w:outlineLvl w:val="3"/>
              <w:rPr>
                <w:rFonts w:ascii="Times New Roman" w:hAnsi="宋体"/>
                <w:kern w:val="0"/>
                <w:szCs w:val="21"/>
              </w:rPr>
            </w:pPr>
            <w:r>
              <w:rPr>
                <w:rFonts w:ascii="宋体" w:eastAsia="宋体" w:hAnsi="宋体" w:cs="宋体" w:hint="eastAsia"/>
                <w:kern w:val="0"/>
                <w:sz w:val="21"/>
                <w:szCs w:val="21"/>
              </w:rPr>
              <w:t>满足本项目</w:t>
            </w:r>
            <w:r>
              <w:rPr>
                <w:rFonts w:ascii="宋体" w:eastAsia="宋体" w:hAnsi="宋体" w:cs="宋体" w:hint="eastAsia"/>
                <w:kern w:val="0"/>
                <w:sz w:val="21"/>
                <w:szCs w:val="21"/>
                <w:lang w:eastAsia="zh-CN"/>
              </w:rPr>
              <w:t>所有</w:t>
            </w:r>
            <w:r>
              <w:rPr>
                <w:rFonts w:ascii="宋体" w:eastAsia="宋体" w:hAnsi="宋体" w:cs="宋体" w:hint="eastAsia"/>
                <w:kern w:val="0"/>
                <w:sz w:val="21"/>
                <w:szCs w:val="21"/>
              </w:rPr>
              <w:t>标★的条款要求</w:t>
            </w:r>
            <w:r>
              <w:rPr>
                <w:rFonts w:ascii="宋体" w:eastAsia="宋体" w:hAnsi="宋体" w:cs="宋体" w:hint="eastAsia"/>
                <w:b/>
                <w:bCs/>
                <w:kern w:val="0"/>
                <w:sz w:val="21"/>
                <w:szCs w:val="21"/>
                <w:lang w:eastAsia="zh-CN"/>
              </w:rPr>
              <w:t>（涉及提供佐证材料的，应按要求提供相应证明材料，任一项未响应或不满足要求的，将导致投标无效。）</w:t>
            </w:r>
          </w:p>
        </w:tc>
        <w:tc>
          <w:tcPr>
            <w:tcW w:w="3685" w:type="dxa"/>
          </w:tcPr>
          <w:p>
            <w:pPr>
              <w:adjustRightInd w:val="0"/>
              <w:snapToGrid w:val="0"/>
              <w:spacing w:line="360" w:lineRule="auto"/>
              <w:rPr>
                <w:rFonts w:ascii="宋体" w:hAnsi="宋体"/>
                <w:kern w:val="0"/>
                <w:szCs w:val="21"/>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注：1.“</w:t>
      </w:r>
      <w:r>
        <w:rPr>
          <w:rFonts w:ascii="宋体" w:hAnsi="宋体" w:hint="eastAsia"/>
          <w:kern w:val="0"/>
          <w:szCs w:val="21"/>
        </w:rPr>
        <w:t>采购人要求内容</w:t>
      </w:r>
      <w:r>
        <w:rPr>
          <w:rFonts w:asciiTheme="minorEastAsia" w:eastAsiaTheme="minorEastAsia" w:hAnsiTheme="minorEastAsia" w:hint="eastAsia"/>
          <w:bCs/>
          <w:kern w:val="0"/>
          <w:szCs w:val="21"/>
        </w:rPr>
        <w:t>”为</w:t>
      </w:r>
      <w:r>
        <w:rPr>
          <w:rFonts w:asciiTheme="minorEastAsia" w:eastAsiaTheme="minorEastAsia" w:hAnsiTheme="minorEastAsia" w:hint="eastAsia"/>
          <w:b/>
          <w:bCs/>
          <w:kern w:val="0"/>
          <w:szCs w:val="21"/>
          <w:highlight w:val="yellow"/>
        </w:rPr>
        <w:t>“第一册  专用条款/第二章  招标项目需求”</w:t>
      </w:r>
      <w:r>
        <w:rPr>
          <w:rFonts w:asciiTheme="minorEastAsia" w:eastAsiaTheme="minorEastAsia" w:hAnsiTheme="minorEastAsia" w:hint="eastAsia"/>
          <w:bCs/>
          <w:kern w:val="0"/>
          <w:szCs w:val="21"/>
        </w:rPr>
        <w:t>中的不可负偏离的实质性条款，即“实质性条款”。</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2.“投标人响应情况”一栏应如实填写“响应”或“不响应”。</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3.“实质性条款响应情况表”与投标文件其它内容冲突的，以“实质性条款响应情况表”为准。</w:t>
      </w:r>
    </w:p>
    <w:p>
      <w:pPr>
        <w:keepNext/>
        <w:keepLines/>
        <w:tabs>
          <w:tab w:val="left" w:pos="765"/>
        </w:tabs>
        <w:spacing w:line="376" w:lineRule="auto"/>
        <w:outlineLvl w:val="3"/>
        <w:rPr>
          <w:rFonts w:asciiTheme="minorEastAsia" w:eastAsiaTheme="minorEastAsia" w:hAnsiTheme="minorEastAsia"/>
          <w:bCs/>
          <w:kern w:val="0"/>
          <w:szCs w:val="21"/>
          <w:highlight w:val="yellow"/>
        </w:rPr>
      </w:pPr>
      <w:r>
        <w:rPr>
          <w:rFonts w:asciiTheme="minorEastAsia" w:eastAsiaTheme="minorEastAsia" w:hAnsiTheme="minorEastAsia" w:hint="eastAsia"/>
          <w:bCs/>
          <w:kern w:val="0"/>
          <w:szCs w:val="21"/>
          <w:highlight w:val="yellow"/>
        </w:rPr>
        <w:t>4.标★的条款要求提供证明材料的，应</w:t>
      </w:r>
      <w:r>
        <w:rPr>
          <w:rFonts w:asciiTheme="minorEastAsia" w:eastAsiaTheme="minorEastAsia" w:hAnsiTheme="minorEastAsia" w:hint="eastAsia"/>
          <w:bCs/>
          <w:kern w:val="0"/>
          <w:szCs w:val="21"/>
          <w:highlight w:val="yellow"/>
          <w:lang w:eastAsia="zh-CN"/>
        </w:rPr>
        <w:t>将证明材料</w:t>
      </w:r>
      <w:r>
        <w:rPr>
          <w:rFonts w:asciiTheme="minorEastAsia" w:eastAsiaTheme="minorEastAsia" w:hAnsiTheme="minorEastAsia" w:hint="eastAsia"/>
          <w:bCs/>
          <w:kern w:val="0"/>
          <w:szCs w:val="21"/>
          <w:highlight w:val="yellow"/>
        </w:rPr>
        <w:t>附在本表后，未提供证明材料或证明材料与响应情况不相符的，按负偏离处理。</w:t>
      </w:r>
    </w:p>
    <w:p>
      <w:pPr>
        <w:keepNext/>
        <w:keepLines/>
        <w:spacing w:before="260" w:after="260"/>
        <w:jc w:val="center"/>
        <w:outlineLvl w:val="2"/>
      </w:pPr>
      <w:r>
        <w:rPr>
          <w:rFonts w:ascii="黑体" w:eastAsia="黑体" w:hAnsi="宋体" w:hint="eastAsia"/>
          <w:bCs/>
          <w:kern w:val="0"/>
          <w:sz w:val="24"/>
          <w:szCs w:val="24"/>
          <w:lang w:val="en-US" w:eastAsia="zh-CN"/>
        </w:rPr>
        <w:t>八</w:t>
      </w:r>
      <w:r>
        <w:rPr>
          <w:rFonts w:ascii="黑体" w:eastAsia="黑体" w:hAnsi="宋体" w:hint="eastAsia"/>
          <w:bCs/>
          <w:kern w:val="0"/>
          <w:sz w:val="24"/>
          <w:szCs w:val="24"/>
        </w:rPr>
        <w:t>、详细分项报价清单</w:t>
      </w:r>
    </w:p>
    <w:p>
      <w:pPr>
        <w:keepNext/>
        <w:keepLines/>
        <w:spacing w:before="260" w:after="260"/>
        <w:jc w:val="center"/>
        <w:outlineLvl w:val="2"/>
        <w:rPr>
          <w:rFonts w:ascii="黑体" w:eastAsia="黑体" w:hAnsi="宋体"/>
          <w:bCs/>
          <w:kern w:val="0"/>
          <w:sz w:val="24"/>
          <w:szCs w:val="24"/>
          <w:highlight w:val="none"/>
        </w:rPr>
      </w:pPr>
      <w:r>
        <w:rPr>
          <w:rFonts w:ascii="宋体" w:hAnsi="宋体" w:cs="宋体" w:hint="eastAsia"/>
          <w:b/>
          <w:bCs/>
          <w:szCs w:val="21"/>
          <w:highlight w:val="none"/>
        </w:rPr>
        <w:t>投标分项报价表</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28"/>
        <w:gridCol w:w="2485"/>
        <w:gridCol w:w="876"/>
        <w:gridCol w:w="909"/>
        <w:gridCol w:w="1643"/>
        <w:gridCol w:w="1701"/>
        <w:gridCol w:w="1125"/>
      </w:tblGrid>
      <w:tr>
        <w:tblPrEx>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480"/>
          <w:jc w:val="center"/>
        </w:trPr>
        <w:tc>
          <w:tcPr>
            <w:tcW w:w="828"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序号</w:t>
            </w:r>
          </w:p>
        </w:tc>
        <w:tc>
          <w:tcPr>
            <w:tcW w:w="2485"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项目内容</w:t>
            </w:r>
          </w:p>
        </w:tc>
        <w:tc>
          <w:tcPr>
            <w:tcW w:w="876"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数量</w:t>
            </w:r>
          </w:p>
        </w:tc>
        <w:tc>
          <w:tcPr>
            <w:tcW w:w="909"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单位</w:t>
            </w:r>
          </w:p>
        </w:tc>
        <w:tc>
          <w:tcPr>
            <w:tcW w:w="1643"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单价（单位：元）</w:t>
            </w:r>
          </w:p>
        </w:tc>
        <w:tc>
          <w:tcPr>
            <w:tcW w:w="1701"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总价（单位：元）</w:t>
            </w:r>
          </w:p>
        </w:tc>
        <w:tc>
          <w:tcPr>
            <w:tcW w:w="1125" w:type="dxa"/>
            <w:vAlign w:val="center"/>
          </w:tcPr>
          <w:p>
            <w:pPr>
              <w:adjustRightInd w:val="0"/>
              <w:snapToGrid w:val="0"/>
              <w:spacing w:line="300" w:lineRule="auto"/>
              <w:jc w:val="center"/>
              <w:rPr>
                <w:rFonts w:ascii="Times New Roman" w:hAnsi="Times New Roman"/>
                <w:b/>
                <w:snapToGrid w:val="0"/>
                <w:kern w:val="0"/>
                <w:szCs w:val="24"/>
              </w:rPr>
            </w:pPr>
            <w:r>
              <w:rPr>
                <w:rFonts w:ascii="Times New Roman" w:hAnsi="Times New Roman" w:hint="eastAsia"/>
                <w:b/>
                <w:snapToGrid w:val="0"/>
                <w:kern w:val="0"/>
                <w:szCs w:val="24"/>
              </w:rPr>
              <w:t>备注</w:t>
            </w: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1</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2</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 xml:space="preserve">3 </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bookmarkStart w:id="11" w:name="_GoBack"/>
            <w:bookmarkEnd w:id="11"/>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4</w:t>
            </w:r>
          </w:p>
        </w:tc>
        <w:tc>
          <w:tcPr>
            <w:tcW w:w="2485" w:type="dxa"/>
            <w:vAlign w:val="center"/>
          </w:tcPr>
          <w:p>
            <w:pPr>
              <w:adjustRightInd w:val="0"/>
              <w:snapToGrid w:val="0"/>
              <w:spacing w:line="300" w:lineRule="auto"/>
              <w:jc w:val="center"/>
              <w:rPr>
                <w:rFonts w:ascii="宋体" w:hAnsi="宋体"/>
                <w:szCs w:val="21"/>
                <w:lang w:val="zh-CN"/>
              </w:rPr>
            </w:pPr>
          </w:p>
        </w:tc>
        <w:tc>
          <w:tcPr>
            <w:tcW w:w="876" w:type="dxa"/>
            <w:vAlign w:val="center"/>
          </w:tcPr>
          <w:p>
            <w:pPr>
              <w:adjustRightInd w:val="0"/>
              <w:snapToGrid w:val="0"/>
              <w:spacing w:line="300" w:lineRule="auto"/>
              <w:jc w:val="center"/>
              <w:rPr>
                <w:rFonts w:ascii="Times New Roman" w:hAnsi="Times New Roman"/>
                <w:snapToGrid w:val="0"/>
                <w:kern w:val="0"/>
                <w:szCs w:val="24"/>
              </w:rPr>
            </w:pPr>
          </w:p>
        </w:tc>
        <w:tc>
          <w:tcPr>
            <w:tcW w:w="909" w:type="dxa"/>
            <w:vAlign w:val="center"/>
          </w:tcPr>
          <w:p>
            <w:pPr>
              <w:adjustRightInd w:val="0"/>
              <w:snapToGrid w:val="0"/>
              <w:spacing w:line="300" w:lineRule="auto"/>
              <w:jc w:val="center"/>
              <w:rPr>
                <w:rFonts w:ascii="Times New Roman" w:hAnsi="Times New Roman"/>
                <w:snapToGrid w:val="0"/>
                <w:kern w:val="0"/>
                <w:szCs w:val="24"/>
              </w:rPr>
            </w:pPr>
          </w:p>
        </w:tc>
        <w:tc>
          <w:tcPr>
            <w:tcW w:w="1643" w:type="dxa"/>
            <w:vAlign w:val="center"/>
          </w:tcPr>
          <w:p>
            <w:pPr>
              <w:adjustRightInd w:val="0"/>
              <w:snapToGrid w:val="0"/>
              <w:spacing w:line="300" w:lineRule="auto"/>
              <w:jc w:val="center"/>
              <w:rPr>
                <w:rFonts w:ascii="Times New Roman" w:hAnsi="Times New Roman"/>
                <w:snapToGrid w:val="0"/>
                <w:kern w:val="0"/>
                <w:szCs w:val="24"/>
              </w:rPr>
            </w:pPr>
          </w:p>
        </w:tc>
        <w:tc>
          <w:tcPr>
            <w:tcW w:w="1701" w:type="dxa"/>
            <w:vAlign w:val="center"/>
          </w:tcPr>
          <w:p>
            <w:pPr>
              <w:adjustRightInd w:val="0"/>
              <w:snapToGrid w:val="0"/>
              <w:spacing w:line="300" w:lineRule="auto"/>
              <w:jc w:val="center"/>
              <w:rPr>
                <w:rFonts w:ascii="Times New Roman" w:hAnsi="Times New Roman"/>
                <w:snapToGrid w:val="0"/>
                <w:kern w:val="0"/>
                <w:szCs w:val="24"/>
              </w:rPr>
            </w:pPr>
          </w:p>
        </w:tc>
        <w:tc>
          <w:tcPr>
            <w:tcW w:w="1125" w:type="dxa"/>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bottom w:val="single" w:sz="4" w:space="0" w:color="auto"/>
            </w:tcBorders>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5</w:t>
            </w:r>
          </w:p>
        </w:tc>
        <w:tc>
          <w:tcPr>
            <w:tcW w:w="2485" w:type="dxa"/>
            <w:tcBorders>
              <w:bottom w:val="single" w:sz="4" w:space="0" w:color="auto"/>
            </w:tcBorders>
            <w:vAlign w:val="center"/>
          </w:tcPr>
          <w:p>
            <w:pPr>
              <w:adjustRightInd w:val="0"/>
              <w:snapToGrid w:val="0"/>
              <w:spacing w:line="300" w:lineRule="auto"/>
              <w:jc w:val="center"/>
              <w:rPr>
                <w:rFonts w:ascii="宋体" w:hAnsi="宋体"/>
                <w:szCs w:val="21"/>
                <w:lang w:val="zh-CN"/>
              </w:rPr>
            </w:pPr>
          </w:p>
        </w:tc>
        <w:tc>
          <w:tcPr>
            <w:tcW w:w="876"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top w:val="single" w:sz="4" w:space="0" w:color="auto"/>
              <w:bottom w:val="single" w:sz="4" w:space="0" w:color="auto"/>
            </w:tcBorders>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6</w:t>
            </w:r>
          </w:p>
        </w:tc>
        <w:tc>
          <w:tcPr>
            <w:tcW w:w="2485" w:type="dxa"/>
            <w:tcBorders>
              <w:top w:val="single" w:sz="4" w:space="0" w:color="auto"/>
              <w:bottom w:val="single" w:sz="4" w:space="0" w:color="auto"/>
            </w:tcBorders>
            <w:vAlign w:val="center"/>
          </w:tcPr>
          <w:p>
            <w:pPr>
              <w:adjustRightInd w:val="0"/>
              <w:snapToGrid w:val="0"/>
              <w:spacing w:line="300" w:lineRule="auto"/>
              <w:jc w:val="center"/>
              <w:rPr>
                <w:rFonts w:ascii="宋体" w:hAnsi="宋体"/>
                <w:szCs w:val="21"/>
                <w:lang w:val="zh-CN"/>
              </w:rPr>
            </w:pPr>
          </w:p>
        </w:tc>
        <w:tc>
          <w:tcPr>
            <w:tcW w:w="876"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7"/>
          <w:jc w:val="center"/>
        </w:trPr>
        <w:tc>
          <w:tcPr>
            <w:tcW w:w="828" w:type="dxa"/>
            <w:tcBorders>
              <w:top w:val="single" w:sz="4" w:space="0" w:color="auto"/>
              <w:bottom w:val="single" w:sz="4" w:space="0" w:color="auto"/>
            </w:tcBorders>
            <w:vAlign w:val="center"/>
          </w:tcPr>
          <w:p>
            <w:pPr>
              <w:adjustRightInd w:val="0"/>
              <w:snapToGrid w:val="0"/>
              <w:spacing w:line="300" w:lineRule="auto"/>
              <w:jc w:val="center"/>
              <w:rPr>
                <w:rFonts w:asciiTheme="minorEastAsia" w:eastAsiaTheme="minorEastAsia" w:hAnsiTheme="minorEastAsia"/>
                <w:snapToGrid w:val="0"/>
                <w:kern w:val="0"/>
                <w:szCs w:val="24"/>
              </w:rPr>
            </w:pPr>
            <w:r>
              <w:rPr>
                <w:rFonts w:asciiTheme="minorEastAsia" w:eastAsiaTheme="minorEastAsia" w:hAnsiTheme="minorEastAsia"/>
                <w:snapToGrid w:val="0"/>
                <w:kern w:val="0"/>
                <w:szCs w:val="24"/>
              </w:rPr>
              <w:t>7</w:t>
            </w:r>
          </w:p>
        </w:tc>
        <w:tc>
          <w:tcPr>
            <w:tcW w:w="2485" w:type="dxa"/>
            <w:tcBorders>
              <w:top w:val="single" w:sz="4" w:space="0" w:color="auto"/>
              <w:bottom w:val="single" w:sz="4" w:space="0" w:color="auto"/>
            </w:tcBorders>
            <w:vAlign w:val="center"/>
          </w:tcPr>
          <w:p>
            <w:pPr>
              <w:adjustRightInd w:val="0"/>
              <w:snapToGrid w:val="0"/>
              <w:spacing w:line="300" w:lineRule="auto"/>
              <w:jc w:val="center"/>
              <w:rPr>
                <w:rFonts w:ascii="宋体" w:hAnsi="宋体"/>
                <w:szCs w:val="21"/>
                <w:lang w:val="zh-CN"/>
              </w:rPr>
            </w:pPr>
          </w:p>
        </w:tc>
        <w:tc>
          <w:tcPr>
            <w:tcW w:w="876"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909"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643"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701" w:type="dxa"/>
            <w:tcBorders>
              <w:top w:val="single" w:sz="4" w:space="0" w:color="auto"/>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bottom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r>
        <w:tblPrEx>
          <w:tblW w:w="0" w:type="auto"/>
          <w:jc w:val="center"/>
          <w:tblLayout w:type="fixed"/>
          <w:tblCellMar>
            <w:top w:w="0" w:type="dxa"/>
            <w:left w:w="108" w:type="dxa"/>
            <w:bottom w:w="0" w:type="dxa"/>
            <w:right w:w="108" w:type="dxa"/>
          </w:tblCellMar>
        </w:tblPrEx>
        <w:trPr>
          <w:cantSplit/>
          <w:trHeight w:val="424"/>
          <w:jc w:val="center"/>
        </w:trPr>
        <w:tc>
          <w:tcPr>
            <w:tcW w:w="6741" w:type="dxa"/>
            <w:gridSpan w:val="5"/>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r>
              <w:rPr>
                <w:rFonts w:ascii="Times New Roman" w:hAnsi="Times New Roman" w:hint="eastAsia"/>
                <w:snapToGrid w:val="0"/>
                <w:kern w:val="0"/>
                <w:szCs w:val="24"/>
              </w:rPr>
              <w:t>合</w:t>
            </w:r>
            <w:r>
              <w:rPr>
                <w:rFonts w:ascii="Times New Roman" w:hAnsi="Times New Roman"/>
                <w:snapToGrid w:val="0"/>
                <w:kern w:val="0"/>
                <w:szCs w:val="24"/>
              </w:rPr>
              <w:t xml:space="preserve">   </w:t>
            </w:r>
            <w:r>
              <w:rPr>
                <w:rFonts w:ascii="Times New Roman" w:hAnsi="Times New Roman" w:hint="eastAsia"/>
                <w:snapToGrid w:val="0"/>
                <w:kern w:val="0"/>
                <w:szCs w:val="24"/>
              </w:rPr>
              <w:t>计（即投标总价，单位：元）</w:t>
            </w:r>
          </w:p>
        </w:tc>
        <w:tc>
          <w:tcPr>
            <w:tcW w:w="1701" w:type="dxa"/>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c>
          <w:tcPr>
            <w:tcW w:w="1125" w:type="dxa"/>
            <w:tcBorders>
              <w:top w:val="single" w:sz="4" w:space="0" w:color="auto"/>
            </w:tcBorders>
            <w:vAlign w:val="center"/>
          </w:tcPr>
          <w:p>
            <w:pPr>
              <w:adjustRightInd w:val="0"/>
              <w:snapToGrid w:val="0"/>
              <w:spacing w:line="300" w:lineRule="auto"/>
              <w:jc w:val="center"/>
              <w:rPr>
                <w:rFonts w:ascii="Times New Roman" w:hAnsi="Times New Roman"/>
                <w:snapToGrid w:val="0"/>
                <w:kern w:val="0"/>
                <w:szCs w:val="24"/>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注：1、本表格仅为指导性范本，供应商可根据项目具体情况对各分项内容进行调整。</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2、投标总价应为以上各分项价格之和。</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3、开标一览表的投标总价必须与以上分项报价清单的投标总价一致。</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w:t>
      </w:r>
      <w:r>
        <w:rPr>
          <w:rFonts w:ascii="宋体" w:hAnsi="宋体" w:hint="eastAsia"/>
          <w:szCs w:val="21"/>
        </w:rPr>
        <w:t>根据《中华人民共和国财政部令第87号-政府采购货物和服务招标投标管理办法》第六十条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keepNext/>
        <w:keepLines/>
        <w:tabs>
          <w:tab w:val="left" w:pos="765"/>
        </w:tabs>
        <w:spacing w:line="376" w:lineRule="auto"/>
        <w:outlineLvl w:val="3"/>
        <w:rPr>
          <w:rFonts w:asciiTheme="minorEastAsia" w:eastAsiaTheme="minorEastAsia" w:hAnsiTheme="minorEastAsia"/>
          <w:bCs/>
          <w:kern w:val="0"/>
          <w:szCs w:val="21"/>
        </w:rPr>
      </w:pPr>
    </w:p>
    <w:p>
      <w:pPr>
        <w:spacing w:after="156" w:afterLines="50"/>
        <w:jc w:val="center"/>
        <w:rPr>
          <w:rFonts w:ascii="黑体" w:eastAsia="黑体" w:hAnsi="宋体"/>
          <w:bCs/>
          <w:kern w:val="0"/>
          <w:sz w:val="24"/>
          <w:szCs w:val="24"/>
        </w:rPr>
      </w:pPr>
      <w:r>
        <w:rPr>
          <w:rFonts w:ascii="黑体" w:eastAsia="黑体" w:hAnsi="宋体" w:hint="eastAsia"/>
          <w:bCs/>
          <w:kern w:val="0"/>
          <w:sz w:val="24"/>
          <w:szCs w:val="24"/>
          <w:lang w:val="en-US" w:eastAsia="zh-CN"/>
        </w:rPr>
        <w:t>九</w:t>
      </w:r>
      <w:r>
        <w:rPr>
          <w:rFonts w:ascii="黑体" w:eastAsia="黑体" w:hAnsi="宋体" w:hint="eastAsia"/>
          <w:bCs/>
          <w:kern w:val="0"/>
          <w:sz w:val="24"/>
          <w:szCs w:val="24"/>
        </w:rPr>
        <w:t>、服务要求偏离表</w:t>
      </w:r>
    </w:p>
    <w:tbl>
      <w:tblPr>
        <w:tblStyle w:val="TableNormal"/>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
        <w:gridCol w:w="2551"/>
        <w:gridCol w:w="1985"/>
        <w:gridCol w:w="1276"/>
        <w:gridCol w:w="2551"/>
      </w:tblGrid>
      <w:tr>
        <w:tblPrEx>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51"/>
        </w:trPr>
        <w:tc>
          <w:tcPr>
            <w:tcW w:w="851" w:type="dxa"/>
            <w:vAlign w:val="center"/>
          </w:tcPr>
          <w:p>
            <w:pPr>
              <w:jc w:val="center"/>
              <w:rPr>
                <w:rFonts w:ascii="宋体" w:hAnsi="宋体"/>
                <w:szCs w:val="21"/>
              </w:rPr>
            </w:pPr>
            <w:r>
              <w:rPr>
                <w:rFonts w:ascii="宋体" w:hAnsi="宋体" w:hint="eastAsia"/>
                <w:szCs w:val="21"/>
              </w:rPr>
              <w:t>序号</w:t>
            </w:r>
          </w:p>
        </w:tc>
        <w:tc>
          <w:tcPr>
            <w:tcW w:w="2551" w:type="dxa"/>
            <w:vAlign w:val="center"/>
          </w:tcPr>
          <w:p>
            <w:pPr>
              <w:jc w:val="center"/>
              <w:rPr>
                <w:rFonts w:ascii="宋体" w:hAnsi="宋体"/>
                <w:szCs w:val="21"/>
              </w:rPr>
            </w:pPr>
            <w:r>
              <w:rPr>
                <w:rFonts w:ascii="宋体" w:hAnsi="宋体" w:hint="eastAsia"/>
                <w:szCs w:val="21"/>
              </w:rPr>
              <w:t>招标文件服务要求</w:t>
            </w:r>
          </w:p>
        </w:tc>
        <w:tc>
          <w:tcPr>
            <w:tcW w:w="1985" w:type="dxa"/>
            <w:vAlign w:val="center"/>
          </w:tcPr>
          <w:p>
            <w:pPr>
              <w:jc w:val="center"/>
              <w:rPr>
                <w:rFonts w:ascii="宋体" w:hAnsi="宋体"/>
                <w:szCs w:val="21"/>
              </w:rPr>
            </w:pPr>
            <w:r>
              <w:rPr>
                <w:rFonts w:ascii="宋体" w:hAnsi="宋体" w:hint="eastAsia"/>
                <w:szCs w:val="21"/>
              </w:rPr>
              <w:t>投标文件服务响应</w:t>
            </w:r>
          </w:p>
        </w:tc>
        <w:tc>
          <w:tcPr>
            <w:tcW w:w="1276" w:type="dxa"/>
            <w:vAlign w:val="center"/>
          </w:tcPr>
          <w:p>
            <w:pPr>
              <w:jc w:val="center"/>
              <w:rPr>
                <w:rFonts w:ascii="宋体" w:hAnsi="宋体"/>
                <w:szCs w:val="21"/>
              </w:rPr>
            </w:pPr>
            <w:r>
              <w:rPr>
                <w:rFonts w:ascii="宋体" w:hAnsi="宋体" w:hint="eastAsia"/>
                <w:szCs w:val="21"/>
              </w:rPr>
              <w:t>偏离情况</w:t>
            </w:r>
          </w:p>
        </w:tc>
        <w:tc>
          <w:tcPr>
            <w:tcW w:w="2551" w:type="dxa"/>
            <w:vAlign w:val="center"/>
          </w:tcPr>
          <w:p>
            <w:pPr>
              <w:jc w:val="center"/>
              <w:rPr>
                <w:rFonts w:ascii="宋体" w:hAnsi="宋体"/>
                <w:szCs w:val="21"/>
              </w:rPr>
            </w:pPr>
            <w:r>
              <w:rPr>
                <w:rFonts w:ascii="宋体" w:hAnsi="宋体" w:hint="eastAsia"/>
                <w:szCs w:val="21"/>
              </w:rPr>
              <w:t>说明</w:t>
            </w:r>
          </w:p>
        </w:tc>
      </w:tr>
      <w:tr>
        <w:tblPrEx>
          <w:tblW w:w="9214" w:type="dxa"/>
          <w:tblInd w:w="108" w:type="dxa"/>
          <w:tblLayout w:type="fixed"/>
          <w:tblCellMar>
            <w:top w:w="0" w:type="dxa"/>
            <w:left w:w="108" w:type="dxa"/>
            <w:bottom w:w="0" w:type="dxa"/>
            <w:right w:w="108" w:type="dxa"/>
          </w:tblCellMar>
        </w:tblPrEx>
        <w:trPr>
          <w:trHeight w:val="262"/>
        </w:trPr>
        <w:tc>
          <w:tcPr>
            <w:tcW w:w="851" w:type="dxa"/>
          </w:tcPr>
          <w:p>
            <w:pPr>
              <w:rPr>
                <w:sz w:val="24"/>
              </w:rPr>
            </w:pPr>
          </w:p>
        </w:tc>
        <w:tc>
          <w:tcPr>
            <w:tcW w:w="2551" w:type="dxa"/>
          </w:tcPr>
          <w:p>
            <w:pPr>
              <w:rPr>
                <w:sz w:val="24"/>
              </w:rPr>
            </w:pPr>
          </w:p>
        </w:tc>
        <w:tc>
          <w:tcPr>
            <w:tcW w:w="1985" w:type="dxa"/>
          </w:tcPr>
          <w:p>
            <w:pPr>
              <w:rPr>
                <w:sz w:val="24"/>
              </w:rPr>
            </w:pPr>
          </w:p>
        </w:tc>
        <w:tc>
          <w:tcPr>
            <w:tcW w:w="1276" w:type="dxa"/>
          </w:tcPr>
          <w:p>
            <w:pPr>
              <w:rPr>
                <w:sz w:val="24"/>
              </w:rPr>
            </w:pPr>
          </w:p>
        </w:tc>
        <w:tc>
          <w:tcPr>
            <w:tcW w:w="2551" w:type="dxa"/>
          </w:tcPr>
          <w:p>
            <w:pPr>
              <w:rPr>
                <w:szCs w:val="21"/>
              </w:rPr>
            </w:pPr>
            <w:r>
              <w:rPr>
                <w:rFonts w:hint="eastAsia"/>
                <w:szCs w:val="21"/>
              </w:rPr>
              <w:t>如需附证明文件，应在“说明”栏填写证明文件对应名称和页码。</w:t>
            </w:r>
          </w:p>
        </w:tc>
      </w:tr>
      <w:tr>
        <w:tblPrEx>
          <w:tblW w:w="9214" w:type="dxa"/>
          <w:tblInd w:w="108" w:type="dxa"/>
          <w:tblLayout w:type="fixed"/>
          <w:tblCellMar>
            <w:top w:w="0" w:type="dxa"/>
            <w:left w:w="108" w:type="dxa"/>
            <w:bottom w:w="0" w:type="dxa"/>
            <w:right w:w="108" w:type="dxa"/>
          </w:tblCellMar>
        </w:tblPrEx>
        <w:trPr>
          <w:trHeight w:val="262"/>
        </w:trPr>
        <w:tc>
          <w:tcPr>
            <w:tcW w:w="851" w:type="dxa"/>
          </w:tcPr>
          <w:p>
            <w:pPr>
              <w:rPr>
                <w:sz w:val="24"/>
              </w:rPr>
            </w:pPr>
          </w:p>
        </w:tc>
        <w:tc>
          <w:tcPr>
            <w:tcW w:w="2551" w:type="dxa"/>
          </w:tcPr>
          <w:p>
            <w:pPr>
              <w:rPr>
                <w:sz w:val="24"/>
              </w:rPr>
            </w:pPr>
          </w:p>
        </w:tc>
        <w:tc>
          <w:tcPr>
            <w:tcW w:w="1985" w:type="dxa"/>
          </w:tcPr>
          <w:p>
            <w:pPr>
              <w:rPr>
                <w:sz w:val="24"/>
              </w:rPr>
            </w:pPr>
          </w:p>
        </w:tc>
        <w:tc>
          <w:tcPr>
            <w:tcW w:w="1276" w:type="dxa"/>
          </w:tcPr>
          <w:p>
            <w:pPr>
              <w:rPr>
                <w:sz w:val="24"/>
              </w:rPr>
            </w:pPr>
          </w:p>
        </w:tc>
        <w:tc>
          <w:tcPr>
            <w:tcW w:w="2551" w:type="dxa"/>
          </w:tcPr>
          <w:p>
            <w:pPr>
              <w:rPr>
                <w:sz w:val="24"/>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备注：</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bCs/>
          <w:kern w:val="0"/>
          <w:szCs w:val="21"/>
        </w:rPr>
        <w:t>1</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“招标文件服务要求”一栏填写招标文件第二章“招标项目需求”</w:t>
      </w:r>
      <w:r>
        <w:rPr>
          <w:rFonts w:asciiTheme="minorEastAsia" w:eastAsiaTheme="minorEastAsia" w:hAnsiTheme="minorEastAsia"/>
          <w:b/>
          <w:bCs/>
          <w:kern w:val="0"/>
          <w:szCs w:val="21"/>
          <w:highlight w:val="yellow"/>
        </w:rPr>
        <w:t>“</w:t>
      </w:r>
      <w:r>
        <w:rPr>
          <w:rFonts w:asciiTheme="minorEastAsia" w:eastAsiaTheme="minorEastAsia" w:hAnsiTheme="minorEastAsia" w:hint="eastAsia"/>
          <w:b/>
          <w:bCs/>
          <w:kern w:val="0"/>
          <w:szCs w:val="21"/>
          <w:highlight w:val="yellow"/>
        </w:rPr>
        <w:t>四、项目</w:t>
      </w:r>
      <w:r>
        <w:rPr>
          <w:rFonts w:asciiTheme="minorEastAsia" w:eastAsiaTheme="minorEastAsia" w:hAnsiTheme="minorEastAsia"/>
          <w:b/>
          <w:bCs/>
          <w:kern w:val="0"/>
          <w:szCs w:val="21"/>
          <w:highlight w:val="yellow"/>
        </w:rPr>
        <w:t>服务</w:t>
      </w:r>
      <w:r>
        <w:rPr>
          <w:rFonts w:asciiTheme="minorEastAsia" w:eastAsiaTheme="minorEastAsia" w:hAnsiTheme="minorEastAsia" w:hint="eastAsia"/>
          <w:b/>
          <w:bCs/>
          <w:kern w:val="0"/>
          <w:szCs w:val="21"/>
          <w:highlight w:val="yellow"/>
        </w:rPr>
        <w:t>要求</w:t>
      </w:r>
      <w:r>
        <w:rPr>
          <w:rFonts w:asciiTheme="minorEastAsia" w:eastAsiaTheme="minorEastAsia" w:hAnsiTheme="minorEastAsia"/>
          <w:b/>
          <w:bCs/>
          <w:kern w:val="0"/>
          <w:szCs w:val="21"/>
          <w:highlight w:val="yellow"/>
        </w:rPr>
        <w:t>”</w:t>
      </w:r>
      <w:r>
        <w:rPr>
          <w:rFonts w:asciiTheme="minorEastAsia" w:eastAsiaTheme="minorEastAsia" w:hAnsiTheme="minorEastAsia"/>
          <w:bCs/>
          <w:kern w:val="0"/>
          <w:szCs w:val="21"/>
        </w:rPr>
        <w:t>的内容。</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bCs/>
          <w:kern w:val="0"/>
          <w:szCs w:val="21"/>
        </w:rPr>
        <w:t>2</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“投标文件服务</w:t>
      </w:r>
      <w:r>
        <w:rPr>
          <w:rFonts w:asciiTheme="minorEastAsia" w:eastAsiaTheme="minorEastAsia" w:hAnsiTheme="minorEastAsia" w:hint="eastAsia"/>
          <w:bCs/>
          <w:kern w:val="0"/>
          <w:szCs w:val="21"/>
        </w:rPr>
        <w:t>响应</w:t>
      </w:r>
      <w:r>
        <w:rPr>
          <w:rFonts w:asciiTheme="minorEastAsia" w:eastAsiaTheme="minorEastAsia" w:hAnsiTheme="minorEastAsia"/>
          <w:bCs/>
          <w:kern w:val="0"/>
          <w:szCs w:val="21"/>
        </w:rPr>
        <w:t>”一栏详细填写响应情况，并应对照</w:t>
      </w:r>
      <w:r>
        <w:rPr>
          <w:rFonts w:asciiTheme="minorEastAsia" w:eastAsiaTheme="minorEastAsia" w:hAnsiTheme="minorEastAsia" w:hint="eastAsia"/>
          <w:bCs/>
          <w:kern w:val="0"/>
          <w:szCs w:val="21"/>
        </w:rPr>
        <w:t>招</w:t>
      </w:r>
      <w:r>
        <w:rPr>
          <w:rFonts w:asciiTheme="minorEastAsia" w:eastAsiaTheme="minorEastAsia" w:hAnsiTheme="minorEastAsia"/>
          <w:bCs/>
          <w:kern w:val="0"/>
          <w:szCs w:val="21"/>
        </w:rPr>
        <w:t>标文件</w:t>
      </w:r>
      <w:r>
        <w:rPr>
          <w:rFonts w:asciiTheme="minorEastAsia" w:eastAsiaTheme="minorEastAsia" w:hAnsiTheme="minorEastAsia" w:hint="eastAsia"/>
          <w:bCs/>
          <w:kern w:val="0"/>
          <w:szCs w:val="21"/>
        </w:rPr>
        <w:t>服务</w:t>
      </w:r>
      <w:r>
        <w:rPr>
          <w:rFonts w:asciiTheme="minorEastAsia" w:eastAsiaTheme="minorEastAsia" w:hAnsiTheme="minorEastAsia"/>
          <w:bCs/>
          <w:kern w:val="0"/>
          <w:szCs w:val="21"/>
        </w:rPr>
        <w:t>要求一一对应响应。</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bCs/>
          <w:kern w:val="0"/>
          <w:szCs w:val="21"/>
        </w:rPr>
        <w:t>3</w:t>
      </w:r>
      <w:r>
        <w:rPr>
          <w:rFonts w:asciiTheme="minorEastAsia" w:eastAsiaTheme="minorEastAsia" w:hAnsiTheme="minorEastAsia" w:hint="eastAsia"/>
          <w:bCs/>
          <w:kern w:val="0"/>
          <w:szCs w:val="21"/>
        </w:rPr>
        <w:t>、</w:t>
      </w:r>
      <w:r>
        <w:rPr>
          <w:rFonts w:asciiTheme="minorEastAsia" w:eastAsiaTheme="minorEastAsia" w:hAnsiTheme="minorEastAsia"/>
          <w:bCs/>
          <w:kern w:val="0"/>
          <w:szCs w:val="21"/>
        </w:rPr>
        <w:t>“偏离情况”一栏应如实填写“正偏离”、“负偏离”或“无偏离”。</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4、对于实质性条款，投标文件响应为“负偏离”的，投标文件将作投标无效处理</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5、如招标文件要求提供证明材料的，投标文件需提供相应证明材料扫描件（原件备查）并注明证明材料在投标文件中的具体位置，未按要求提供证明材料或未注明证明材料的具体位置或提供的证明资料显示不符合招标文件要求、模糊不清无法判断或未显示是否满足招标文件要求的，均视为负偏离。</w:t>
      </w:r>
    </w:p>
    <w:p>
      <w:pPr>
        <w:spacing w:after="156" w:afterLines="50"/>
        <w:jc w:val="center"/>
        <w:rPr>
          <w:rFonts w:ascii="黑体" w:eastAsia="黑体" w:hAnsi="宋体"/>
          <w:bCs/>
          <w:kern w:val="0"/>
          <w:sz w:val="24"/>
          <w:szCs w:val="24"/>
        </w:rPr>
      </w:pPr>
      <w:r>
        <w:rPr>
          <w:rFonts w:ascii="黑体" w:eastAsia="黑体" w:hAnsi="宋体" w:hint="eastAsia"/>
          <w:bCs/>
          <w:kern w:val="0"/>
          <w:sz w:val="24"/>
          <w:szCs w:val="24"/>
        </w:rPr>
        <w:t>十、商务要求偏离表</w:t>
      </w:r>
    </w:p>
    <w:tbl>
      <w:tblPr>
        <w:tblStyle w:val="TableNormal"/>
        <w:tblW w:w="9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
        <w:gridCol w:w="2410"/>
        <w:gridCol w:w="2551"/>
        <w:gridCol w:w="1344"/>
        <w:gridCol w:w="2008"/>
      </w:tblGrid>
      <w:tr>
        <w:tblPrEx>
          <w:tblW w:w="91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48"/>
        </w:trPr>
        <w:tc>
          <w:tcPr>
            <w:tcW w:w="851" w:type="dxa"/>
            <w:vAlign w:val="center"/>
          </w:tcPr>
          <w:p>
            <w:pPr>
              <w:jc w:val="center"/>
              <w:rPr>
                <w:rFonts w:ascii="宋体" w:hAnsi="宋体"/>
                <w:szCs w:val="21"/>
              </w:rPr>
            </w:pPr>
            <w:r>
              <w:rPr>
                <w:rFonts w:ascii="宋体" w:hAnsi="宋体" w:hint="eastAsia"/>
                <w:szCs w:val="21"/>
              </w:rPr>
              <w:t>序号</w:t>
            </w:r>
          </w:p>
        </w:tc>
        <w:tc>
          <w:tcPr>
            <w:tcW w:w="2410" w:type="dxa"/>
            <w:vAlign w:val="center"/>
          </w:tcPr>
          <w:p>
            <w:pPr>
              <w:jc w:val="center"/>
              <w:rPr>
                <w:rFonts w:ascii="宋体" w:hAnsi="宋体"/>
                <w:szCs w:val="21"/>
              </w:rPr>
            </w:pPr>
            <w:r>
              <w:rPr>
                <w:rFonts w:ascii="宋体" w:hAnsi="宋体" w:hint="eastAsia"/>
                <w:szCs w:val="21"/>
              </w:rPr>
              <w:t>招标文件商务要求</w:t>
            </w:r>
          </w:p>
        </w:tc>
        <w:tc>
          <w:tcPr>
            <w:tcW w:w="2551" w:type="dxa"/>
            <w:vAlign w:val="center"/>
          </w:tcPr>
          <w:p>
            <w:pPr>
              <w:jc w:val="center"/>
              <w:rPr>
                <w:rFonts w:ascii="宋体" w:hAnsi="宋体"/>
                <w:szCs w:val="21"/>
              </w:rPr>
            </w:pPr>
            <w:r>
              <w:rPr>
                <w:rFonts w:ascii="宋体" w:hAnsi="宋体" w:hint="eastAsia"/>
                <w:szCs w:val="21"/>
              </w:rPr>
              <w:t>投标文件商务响应</w:t>
            </w:r>
          </w:p>
        </w:tc>
        <w:tc>
          <w:tcPr>
            <w:tcW w:w="1344" w:type="dxa"/>
            <w:vAlign w:val="center"/>
          </w:tcPr>
          <w:p>
            <w:pPr>
              <w:jc w:val="center"/>
              <w:rPr>
                <w:rFonts w:ascii="宋体" w:hAnsi="宋体"/>
                <w:szCs w:val="21"/>
              </w:rPr>
            </w:pPr>
            <w:r>
              <w:rPr>
                <w:rFonts w:ascii="宋体" w:hAnsi="宋体" w:hint="eastAsia"/>
                <w:szCs w:val="21"/>
              </w:rPr>
              <w:t>偏离情况</w:t>
            </w:r>
          </w:p>
        </w:tc>
        <w:tc>
          <w:tcPr>
            <w:tcW w:w="2008" w:type="dxa"/>
            <w:vAlign w:val="center"/>
          </w:tcPr>
          <w:p>
            <w:pPr>
              <w:jc w:val="center"/>
              <w:rPr>
                <w:rFonts w:ascii="宋体" w:hAnsi="宋体"/>
                <w:szCs w:val="21"/>
              </w:rPr>
            </w:pPr>
            <w:r>
              <w:rPr>
                <w:rFonts w:ascii="宋体" w:hAnsi="宋体" w:hint="eastAsia"/>
                <w:szCs w:val="21"/>
              </w:rPr>
              <w:t>说明</w:t>
            </w:r>
          </w:p>
        </w:tc>
      </w:tr>
      <w:tr>
        <w:tblPrEx>
          <w:tblW w:w="9164" w:type="dxa"/>
          <w:tblInd w:w="108" w:type="dxa"/>
          <w:tblLayout w:type="fixed"/>
          <w:tblCellMar>
            <w:top w:w="0" w:type="dxa"/>
            <w:left w:w="108" w:type="dxa"/>
            <w:bottom w:w="0" w:type="dxa"/>
            <w:right w:w="108" w:type="dxa"/>
          </w:tblCellMar>
        </w:tblPrEx>
        <w:trPr>
          <w:trHeight w:val="261"/>
        </w:trPr>
        <w:tc>
          <w:tcPr>
            <w:tcW w:w="851" w:type="dxa"/>
          </w:tcPr>
          <w:p>
            <w:pPr>
              <w:rPr>
                <w:sz w:val="24"/>
              </w:rPr>
            </w:pPr>
          </w:p>
        </w:tc>
        <w:tc>
          <w:tcPr>
            <w:tcW w:w="2410" w:type="dxa"/>
          </w:tcPr>
          <w:p>
            <w:pPr>
              <w:rPr>
                <w:sz w:val="24"/>
              </w:rPr>
            </w:pPr>
          </w:p>
        </w:tc>
        <w:tc>
          <w:tcPr>
            <w:tcW w:w="2551" w:type="dxa"/>
          </w:tcPr>
          <w:p>
            <w:pPr>
              <w:rPr>
                <w:sz w:val="24"/>
              </w:rPr>
            </w:pPr>
          </w:p>
        </w:tc>
        <w:tc>
          <w:tcPr>
            <w:tcW w:w="1344" w:type="dxa"/>
          </w:tcPr>
          <w:p>
            <w:pPr>
              <w:rPr>
                <w:sz w:val="24"/>
              </w:rPr>
            </w:pPr>
          </w:p>
        </w:tc>
        <w:tc>
          <w:tcPr>
            <w:tcW w:w="2008" w:type="dxa"/>
          </w:tcPr>
          <w:p>
            <w:pPr>
              <w:rPr>
                <w:sz w:val="24"/>
              </w:rPr>
            </w:pPr>
            <w:r>
              <w:rPr>
                <w:rFonts w:hint="eastAsia"/>
                <w:szCs w:val="21"/>
              </w:rPr>
              <w:t>如需附证明文件，应在“说明”栏填写证明文件对应名称和页码。</w:t>
            </w:r>
          </w:p>
        </w:tc>
      </w:tr>
      <w:tr>
        <w:tblPrEx>
          <w:tblW w:w="9164" w:type="dxa"/>
          <w:tblInd w:w="108" w:type="dxa"/>
          <w:tblLayout w:type="fixed"/>
          <w:tblCellMar>
            <w:top w:w="0" w:type="dxa"/>
            <w:left w:w="108" w:type="dxa"/>
            <w:bottom w:w="0" w:type="dxa"/>
            <w:right w:w="108" w:type="dxa"/>
          </w:tblCellMar>
        </w:tblPrEx>
        <w:trPr>
          <w:trHeight w:val="275"/>
        </w:trPr>
        <w:tc>
          <w:tcPr>
            <w:tcW w:w="851" w:type="dxa"/>
          </w:tcPr>
          <w:p>
            <w:pPr>
              <w:rPr>
                <w:sz w:val="24"/>
              </w:rPr>
            </w:pPr>
          </w:p>
        </w:tc>
        <w:tc>
          <w:tcPr>
            <w:tcW w:w="2410" w:type="dxa"/>
          </w:tcPr>
          <w:p>
            <w:pPr>
              <w:rPr>
                <w:sz w:val="24"/>
              </w:rPr>
            </w:pPr>
          </w:p>
        </w:tc>
        <w:tc>
          <w:tcPr>
            <w:tcW w:w="2551" w:type="dxa"/>
          </w:tcPr>
          <w:p>
            <w:pPr>
              <w:rPr>
                <w:sz w:val="24"/>
              </w:rPr>
            </w:pPr>
          </w:p>
        </w:tc>
        <w:tc>
          <w:tcPr>
            <w:tcW w:w="1344" w:type="dxa"/>
          </w:tcPr>
          <w:p>
            <w:pPr>
              <w:rPr>
                <w:sz w:val="24"/>
              </w:rPr>
            </w:pPr>
          </w:p>
        </w:tc>
        <w:tc>
          <w:tcPr>
            <w:tcW w:w="2008" w:type="dxa"/>
          </w:tcPr>
          <w:p>
            <w:pPr>
              <w:rPr>
                <w:sz w:val="24"/>
              </w:rPr>
            </w:pPr>
          </w:p>
        </w:tc>
      </w:tr>
    </w:tbl>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备注：</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1、“招标文件商务服务要求”一栏填写招标文件第二章“招标项目需求”</w:t>
      </w:r>
      <w:r>
        <w:rPr>
          <w:rFonts w:asciiTheme="minorEastAsia" w:eastAsiaTheme="minorEastAsia" w:hAnsiTheme="minorEastAsia" w:hint="eastAsia"/>
          <w:b/>
          <w:bCs/>
          <w:kern w:val="0"/>
          <w:szCs w:val="21"/>
          <w:highlight w:val="yellow"/>
        </w:rPr>
        <w:t>“五、项目商务要求”</w:t>
      </w:r>
      <w:r>
        <w:rPr>
          <w:rFonts w:asciiTheme="minorEastAsia" w:eastAsiaTheme="minorEastAsia" w:hAnsiTheme="minorEastAsia" w:hint="eastAsia"/>
          <w:bCs/>
          <w:kern w:val="0"/>
          <w:szCs w:val="21"/>
        </w:rPr>
        <w:t>的内容</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2、“投标文件商务响应”一栏详细填写投标商务条款的内容</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3、“偏离情况”栏中应如实填写“正偏离”、“负偏离”或“无偏离”</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4、对于实质性条款，投标文件响应为“负偏离”的，投标文件将作投标无效处理</w:t>
      </w:r>
      <w:r>
        <w:rPr>
          <w:rFonts w:asciiTheme="minorEastAsia" w:eastAsiaTheme="minorEastAsia" w:hAnsiTheme="minorEastAsia"/>
          <w:bCs/>
          <w:kern w:val="0"/>
          <w:szCs w:val="21"/>
        </w:rPr>
        <w:t>。</w:t>
      </w:r>
    </w:p>
    <w:p>
      <w:pPr>
        <w:keepNext/>
        <w:keepLines/>
        <w:tabs>
          <w:tab w:val="left" w:pos="765"/>
        </w:tabs>
        <w:spacing w:line="376" w:lineRule="auto"/>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5、如招标文件要求提供证明材料的，投标文件需提供相应证明材料扫描件（原件备查）并注明证明材料在投标文件中的具体位置，未按要求提供证明材料或未注明证明材料的具体位置或提供的证明资料显示不符合招标文件要求、模糊不清无法判断或未显示是否满足招标文件要求的，均视为负偏离。</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一</w:t>
      </w:r>
      <w:r>
        <w:rPr>
          <w:rFonts w:ascii="黑体" w:eastAsia="黑体" w:hAnsi="宋体" w:hint="eastAsia"/>
          <w:bCs/>
          <w:kern w:val="0"/>
          <w:sz w:val="24"/>
          <w:szCs w:val="24"/>
        </w:rPr>
        <w:t>、实施方案（格式自定）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二</w:t>
      </w:r>
      <w:r>
        <w:rPr>
          <w:rFonts w:ascii="黑体" w:eastAsia="黑体" w:hAnsi="宋体" w:hint="eastAsia"/>
          <w:bCs/>
          <w:kern w:val="0"/>
          <w:sz w:val="24"/>
          <w:szCs w:val="24"/>
        </w:rPr>
        <w:t>、项目重点难点分析、应对措施及相关的合理化建议（格式自定）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三</w:t>
      </w:r>
      <w:r>
        <w:rPr>
          <w:rFonts w:ascii="黑体" w:eastAsia="黑体" w:hAnsi="宋体" w:hint="eastAsia"/>
          <w:bCs/>
          <w:kern w:val="0"/>
          <w:sz w:val="24"/>
          <w:szCs w:val="24"/>
        </w:rPr>
        <w:t>、质量（完成时间、安全、环保）保障措施及方案（格式自定）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四</w:t>
      </w:r>
      <w:r>
        <w:rPr>
          <w:rFonts w:ascii="黑体" w:eastAsia="黑体" w:hAnsi="宋体" w:hint="eastAsia"/>
          <w:bCs/>
          <w:kern w:val="0"/>
          <w:sz w:val="24"/>
          <w:szCs w:val="24"/>
        </w:rPr>
        <w:t>、项目完成（服务期满）后的服务承诺（格式自定）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五</w:t>
      </w:r>
      <w:r>
        <w:rPr>
          <w:rFonts w:ascii="黑体" w:eastAsia="黑体" w:hAnsi="宋体" w:hint="eastAsia"/>
          <w:bCs/>
          <w:kern w:val="0"/>
          <w:sz w:val="24"/>
          <w:szCs w:val="24"/>
        </w:rPr>
        <w:t>、违约承诺（格式自定）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六</w:t>
      </w:r>
      <w:r>
        <w:rPr>
          <w:rFonts w:ascii="黑体" w:eastAsia="黑体" w:hAnsi="宋体" w:hint="eastAsia"/>
          <w:bCs/>
          <w:kern w:val="0"/>
          <w:sz w:val="24"/>
          <w:szCs w:val="24"/>
        </w:rPr>
        <w:t>、投标人同类项目业绩情况（格式自定）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七</w:t>
      </w:r>
      <w:r>
        <w:rPr>
          <w:rFonts w:ascii="黑体" w:eastAsia="黑体" w:hAnsi="宋体" w:hint="eastAsia"/>
          <w:bCs/>
          <w:kern w:val="0"/>
          <w:sz w:val="24"/>
          <w:szCs w:val="24"/>
        </w:rPr>
        <w:t>、履约评价（格式自定）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八</w:t>
      </w:r>
      <w:r>
        <w:rPr>
          <w:rFonts w:ascii="黑体" w:eastAsia="黑体" w:hAnsi="宋体" w:hint="eastAsia"/>
          <w:bCs/>
          <w:kern w:val="0"/>
          <w:sz w:val="24"/>
          <w:szCs w:val="24"/>
        </w:rPr>
        <w:t>、拟安排的项目负责人情况（仅限一人）（格式自定）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九</w:t>
      </w:r>
      <w:r>
        <w:rPr>
          <w:rFonts w:ascii="黑体" w:eastAsia="黑体" w:hAnsi="宋体" w:hint="eastAsia"/>
          <w:bCs/>
          <w:kern w:val="0"/>
          <w:sz w:val="24"/>
          <w:szCs w:val="24"/>
        </w:rPr>
        <w:t>、拟安排的项目主要团队成员（主要技术人员）情况（项目负责人除外）（格式自定）</w:t>
      </w:r>
    </w:p>
    <w:p>
      <w:pPr>
        <w:spacing w:after="156" w:afterLines="50"/>
        <w:jc w:val="center"/>
        <w:rPr>
          <w:rFonts w:ascii="黑体" w:eastAsia="黑体" w:hAnsi="宋体" w:hint="eastAsia"/>
          <w:bCs/>
          <w:kern w:val="0"/>
          <w:sz w:val="24"/>
          <w:szCs w:val="24"/>
        </w:rPr>
      </w:pPr>
      <w:r>
        <w:rPr>
          <w:rFonts w:ascii="黑体" w:eastAsia="黑体" w:hAnsi="宋体" w:hint="eastAsia"/>
          <w:bCs/>
          <w:kern w:val="0"/>
          <w:sz w:val="24"/>
          <w:szCs w:val="24"/>
          <w:lang w:val="en-US" w:eastAsia="zh-CN"/>
        </w:rPr>
        <w:t>二</w:t>
      </w:r>
      <w:r>
        <w:rPr>
          <w:rFonts w:ascii="黑体" w:eastAsia="黑体" w:hAnsi="宋体" w:hint="eastAsia"/>
          <w:bCs/>
          <w:kern w:val="0"/>
          <w:sz w:val="24"/>
          <w:szCs w:val="24"/>
        </w:rPr>
        <w:t>十、投标人自主知识产权产品（创新、设计）情况（格式自定）</w:t>
      </w:r>
    </w:p>
    <w:p>
      <w:pPr>
        <w:spacing w:after="156" w:afterLines="50"/>
        <w:jc w:val="center"/>
        <w:rPr>
          <w:rFonts w:ascii="黑体" w:eastAsia="黑体" w:hAnsi="宋体"/>
          <w:bCs/>
          <w:kern w:val="0"/>
          <w:sz w:val="24"/>
          <w:szCs w:val="24"/>
        </w:rPr>
      </w:pPr>
      <w:r>
        <w:rPr>
          <w:rFonts w:ascii="黑体" w:eastAsia="黑体" w:hAnsi="宋体" w:hint="eastAsia"/>
          <w:bCs/>
          <w:kern w:val="0"/>
          <w:sz w:val="24"/>
          <w:szCs w:val="24"/>
          <w:lang w:val="en-US" w:eastAsia="zh-CN"/>
        </w:rPr>
        <w:t>二</w:t>
      </w: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一</w:t>
      </w:r>
      <w:r>
        <w:rPr>
          <w:rFonts w:ascii="黑体" w:eastAsia="黑体" w:hAnsi="宋体" w:hint="eastAsia"/>
          <w:bCs/>
          <w:kern w:val="0"/>
          <w:sz w:val="24"/>
          <w:szCs w:val="24"/>
        </w:rPr>
        <w:t>、服务响应时间（格式自定）</w:t>
      </w:r>
    </w:p>
    <w:p>
      <w:pPr>
        <w:jc w:val="center"/>
        <w:rPr>
          <w:rFonts w:ascii="宋体" w:hAnsi="宋体"/>
          <w:b/>
          <w:bCs/>
          <w:kern w:val="0"/>
          <w:sz w:val="24"/>
          <w:szCs w:val="20"/>
        </w:rPr>
      </w:pPr>
      <w:r>
        <w:rPr>
          <w:rFonts w:ascii="黑体" w:eastAsia="黑体" w:hAnsi="宋体" w:hint="eastAsia"/>
          <w:bCs/>
          <w:kern w:val="0"/>
          <w:sz w:val="24"/>
          <w:szCs w:val="24"/>
          <w:lang w:val="en-US" w:eastAsia="zh-CN"/>
        </w:rPr>
        <w:t>二</w:t>
      </w:r>
      <w:r>
        <w:rPr>
          <w:rFonts w:ascii="黑体" w:eastAsia="黑体" w:hAnsi="宋体" w:hint="eastAsia"/>
          <w:bCs/>
          <w:kern w:val="0"/>
          <w:sz w:val="24"/>
          <w:szCs w:val="24"/>
        </w:rPr>
        <w:t>十</w:t>
      </w:r>
      <w:r>
        <w:rPr>
          <w:rFonts w:ascii="黑体" w:eastAsia="黑体" w:hAnsi="宋体" w:hint="eastAsia"/>
          <w:bCs/>
          <w:kern w:val="0"/>
          <w:sz w:val="24"/>
          <w:szCs w:val="24"/>
          <w:lang w:val="en-US" w:eastAsia="zh-CN"/>
        </w:rPr>
        <w:t>二</w:t>
      </w:r>
      <w:r>
        <w:rPr>
          <w:rFonts w:ascii="黑体" w:eastAsia="黑体" w:hAnsi="宋体" w:hint="eastAsia"/>
          <w:bCs/>
          <w:kern w:val="0"/>
          <w:sz w:val="24"/>
          <w:szCs w:val="24"/>
        </w:rPr>
        <w:t>、招标文件要求的其它内容或投标人认为需要补充的资料（格式自定）</w:t>
      </w:r>
      <w:r>
        <w:rPr>
          <w:rFonts w:ascii="宋体" w:hAnsi="宋体"/>
          <w:b/>
          <w:bCs/>
          <w:kern w:val="0"/>
          <w:sz w:val="24"/>
          <w:szCs w:val="20"/>
        </w:rPr>
        <w:br w:type="page"/>
      </w:r>
    </w:p>
    <w:p>
      <w:pPr>
        <w:jc w:val="center"/>
        <w:rPr>
          <w:rFonts w:ascii="宋体" w:hAnsi="宋体"/>
          <w:b/>
          <w:bCs/>
          <w:kern w:val="0"/>
          <w:sz w:val="24"/>
          <w:szCs w:val="20"/>
        </w:rPr>
      </w:pPr>
      <w:r>
        <w:rPr>
          <w:rFonts w:ascii="宋体" w:hAnsi="宋体" w:hint="eastAsia"/>
          <w:b/>
          <w:bCs/>
          <w:kern w:val="0"/>
          <w:sz w:val="24"/>
          <w:szCs w:val="20"/>
        </w:rPr>
        <w:t>第四章  合同及履约情况反馈格式</w:t>
      </w:r>
    </w:p>
    <w:p>
      <w:pPr>
        <w:ind w:firstLine="412" w:firstLineChars="196"/>
        <w:rPr>
          <w:rFonts w:ascii="Times New Roman" w:hAnsi="Times New Roman"/>
          <w:szCs w:val="24"/>
        </w:rPr>
      </w:pPr>
    </w:p>
    <w:p>
      <w:pPr>
        <w:keepNext/>
        <w:keepLines/>
        <w:spacing w:before="260" w:after="260"/>
        <w:jc w:val="center"/>
        <w:outlineLvl w:val="2"/>
        <w:rPr>
          <w:rFonts w:ascii="黑体" w:eastAsia="黑体" w:hAnsi="宋体"/>
          <w:bCs/>
          <w:kern w:val="0"/>
          <w:sz w:val="24"/>
          <w:szCs w:val="24"/>
        </w:rPr>
      </w:pPr>
      <w:r>
        <w:rPr>
          <w:rFonts w:ascii="黑体" w:eastAsia="黑体" w:hAnsi="宋体" w:hint="eastAsia"/>
          <w:bCs/>
          <w:kern w:val="0"/>
          <w:sz w:val="24"/>
          <w:szCs w:val="24"/>
        </w:rPr>
        <w:t>一、合同条款及格式（</w:t>
      </w:r>
      <w:r>
        <w:rPr>
          <w:rFonts w:ascii="黑体" w:eastAsia="黑体" w:hint="eastAsia"/>
          <w:kern w:val="0"/>
          <w:sz w:val="24"/>
          <w:szCs w:val="24"/>
        </w:rPr>
        <w:t>仅供参考</w:t>
      </w:r>
      <w:r>
        <w:rPr>
          <w:rFonts w:ascii="黑体" w:eastAsia="黑体" w:hAnsi="宋体" w:hint="eastAsia"/>
          <w:bCs/>
          <w:kern w:val="0"/>
          <w:sz w:val="24"/>
          <w:szCs w:val="24"/>
        </w:rPr>
        <w:t>）</w:t>
      </w:r>
    </w:p>
    <w:p>
      <w:pPr>
        <w:ind w:firstLine="412" w:firstLineChars="196"/>
        <w:jc w:val="center"/>
        <w:rPr>
          <w:rFonts w:ascii="Times New Roman" w:hAnsi="Times New Roman"/>
          <w:sz w:val="24"/>
          <w:szCs w:val="24"/>
        </w:rPr>
      </w:pPr>
      <w:bookmarkStart w:id="12" w:name="_Toc84303603"/>
      <w:bookmarkStart w:id="13" w:name="_Toc73521680"/>
      <w:bookmarkStart w:id="14" w:name="_Toc73517685"/>
      <w:bookmarkStart w:id="15" w:name="_Toc100052414"/>
      <w:bookmarkStart w:id="16" w:name="_Toc101074886"/>
      <w:bookmarkStart w:id="17" w:name="_Toc73521592"/>
      <w:bookmarkStart w:id="18" w:name="_Toc73518163"/>
    </w:p>
    <w:p>
      <w:pPr>
        <w:ind w:firstLine="412" w:firstLineChars="196"/>
        <w:jc w:val="center"/>
        <w:rPr>
          <w:rFonts w:ascii="Times New Roman" w:hAnsi="Times New Roman"/>
          <w:sz w:val="24"/>
          <w:szCs w:val="24"/>
        </w:rPr>
      </w:pPr>
    </w:p>
    <w:p>
      <w:pPr>
        <w:adjustRightInd w:val="0"/>
        <w:snapToGrid w:val="0"/>
        <w:spacing w:after="60" w:line="360" w:lineRule="auto"/>
        <w:jc w:val="center"/>
        <w:rPr>
          <w:b/>
          <w:snapToGrid w:val="0"/>
          <w:kern w:val="0"/>
          <w:sz w:val="24"/>
        </w:rPr>
      </w:pPr>
      <w:bookmarkEnd w:id="12"/>
      <w:bookmarkEnd w:id="13"/>
      <w:bookmarkEnd w:id="14"/>
      <w:bookmarkEnd w:id="15"/>
      <w:bookmarkEnd w:id="16"/>
      <w:bookmarkEnd w:id="17"/>
      <w:bookmarkEnd w:id="18"/>
      <w:r>
        <w:rPr>
          <w:rFonts w:hint="eastAsia"/>
          <w:b/>
          <w:snapToGrid w:val="0"/>
          <w:kern w:val="0"/>
          <w:sz w:val="24"/>
        </w:rPr>
        <w:t>（拟签订的合同文本）</w:t>
      </w:r>
    </w:p>
    <w:p>
      <w:pPr>
        <w:pStyle w:val="PlainText"/>
        <w:spacing w:line="360" w:lineRule="auto"/>
        <w:ind w:firstLine="420" w:firstLineChars="200"/>
        <w:rPr>
          <w:rFonts w:ascii="Times New Roman" w:hAnsi="Times New Roman"/>
          <w:b/>
          <w:sz w:val="24"/>
        </w:rPr>
      </w:pPr>
      <w:r>
        <w:rPr>
          <w:rFonts w:ascii="Times New Roman" w:hAnsi="Times New Roman" w:hint="eastAsia"/>
          <w:b/>
          <w:sz w:val="24"/>
        </w:rPr>
        <w:t>重要说明：采购人在签订合同前有权依据招标文件要求和项目实际情况对以下合同内容进行删改或补充。</w:t>
      </w:r>
    </w:p>
    <w:p>
      <w:pPr>
        <w:adjustRightInd w:val="0"/>
        <w:snapToGrid w:val="0"/>
        <w:spacing w:line="360" w:lineRule="auto"/>
        <w:ind w:firstLine="420" w:firstLineChars="200"/>
        <w:rPr>
          <w:rFonts w:ascii="宋体" w:hAnsi="宋体"/>
          <w:b/>
          <w:bCs/>
          <w:szCs w:val="21"/>
        </w:rPr>
      </w:pPr>
    </w:p>
    <w:p>
      <w:pPr>
        <w:adjustRightInd w:val="0"/>
        <w:snapToGrid w:val="0"/>
        <w:spacing w:line="360" w:lineRule="auto"/>
        <w:ind w:firstLine="420" w:firstLineChars="200"/>
        <w:rPr>
          <w:rFonts w:ascii="宋体" w:hAnsi="宋体"/>
          <w:b/>
          <w:bCs/>
          <w:szCs w:val="21"/>
        </w:rPr>
      </w:pPr>
      <w:r>
        <w:rPr>
          <w:rFonts w:ascii="宋体" w:hAnsi="宋体" w:hint="eastAsia"/>
          <w:b/>
          <w:bCs/>
          <w:szCs w:val="21"/>
        </w:rPr>
        <w:t xml:space="preserve">采购人（甲方）：   </w:t>
      </w:r>
    </w:p>
    <w:p>
      <w:pPr>
        <w:adjustRightInd w:val="0"/>
        <w:snapToGrid w:val="0"/>
        <w:spacing w:line="360" w:lineRule="auto"/>
        <w:ind w:firstLine="420" w:firstLineChars="200"/>
        <w:rPr>
          <w:rFonts w:ascii="宋体" w:hAnsi="宋体"/>
          <w:b/>
          <w:bCs/>
          <w:szCs w:val="21"/>
        </w:rPr>
      </w:pPr>
      <w:r>
        <w:rPr>
          <w:rFonts w:ascii="宋体" w:hAnsi="宋体" w:hint="eastAsia"/>
          <w:b/>
          <w:bCs/>
          <w:szCs w:val="21"/>
        </w:rPr>
        <w:t xml:space="preserve">中标人（乙方）：                                       </w:t>
      </w:r>
    </w:p>
    <w:p>
      <w:pPr>
        <w:adjustRightInd w:val="0"/>
        <w:snapToGrid w:val="0"/>
        <w:spacing w:line="360" w:lineRule="auto"/>
        <w:rPr>
          <w:rFonts w:ascii="宋体" w:hAnsi="宋体"/>
          <w:szCs w:val="21"/>
        </w:rPr>
      </w:pPr>
    </w:p>
    <w:p>
      <w:pPr>
        <w:snapToGrid w:val="0"/>
        <w:spacing w:line="360" w:lineRule="auto"/>
        <w:ind w:firstLine="420" w:firstLineChars="200"/>
        <w:rPr>
          <w:rFonts w:ascii="宋体" w:hAnsi="宋体"/>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招标项目（项目编号__________________）的中标结果，由_______________________单位为中标人。</w:t>
      </w:r>
      <w:r>
        <w:rPr>
          <w:rFonts w:asciiTheme="minorEastAsia" w:hAnsiTheme="minorEastAsia" w:hint="eastAsia"/>
          <w:szCs w:val="21"/>
        </w:rPr>
        <w:t>根据《中华人民共和国政府采购法》、《深圳经济特区政府采购条例》、《中华人民共和国民法典》之规定</w:t>
      </w:r>
      <w:r>
        <w:rPr>
          <w:rFonts w:ascii="宋体" w:hAnsi="宋体" w:hint="eastAsia"/>
          <w:szCs w:val="21"/>
        </w:rPr>
        <w:t>，经_______________________（以下简称采购人）和_______________________（以下简称中标人）协商，就_______________________</w:t>
      </w:r>
      <w:r>
        <w:rPr>
          <w:rFonts w:ascii="宋体" w:hAnsi="宋体" w:hint="eastAsia"/>
          <w:bCs/>
          <w:snapToGrid w:val="0"/>
          <w:kern w:val="0"/>
          <w:szCs w:val="21"/>
          <w:lang w:val="zh-CN"/>
        </w:rPr>
        <w:t>项目</w:t>
      </w:r>
      <w:r>
        <w:rPr>
          <w:rFonts w:ascii="宋体" w:hAnsi="宋体" w:hint="eastAsia"/>
          <w:szCs w:val="21"/>
        </w:rPr>
        <w:t>，达成以下合同条款：</w:t>
      </w:r>
    </w:p>
    <w:p>
      <w:pPr>
        <w:pStyle w:val="PlainText"/>
        <w:snapToGrid w:val="0"/>
        <w:spacing w:line="360" w:lineRule="auto"/>
        <w:ind w:firstLine="420" w:firstLineChars="200"/>
        <w:rPr>
          <w:rFonts w:hAnsi="宋体"/>
          <w:b/>
          <w:sz w:val="21"/>
          <w:szCs w:val="21"/>
        </w:rPr>
      </w:pPr>
      <w:r>
        <w:rPr>
          <w:rFonts w:hAnsi="宋体" w:hint="eastAsia"/>
          <w:b/>
          <w:sz w:val="21"/>
          <w:szCs w:val="21"/>
        </w:rPr>
        <w:t>一、服务内容</w:t>
      </w:r>
    </w:p>
    <w:p>
      <w:pPr>
        <w:spacing w:line="360" w:lineRule="auto"/>
        <w:ind w:firstLine="422" w:firstLineChars="201"/>
        <w:rPr>
          <w:rFonts w:ascii="宋体" w:hAnsi="宋体"/>
          <w:szCs w:val="21"/>
        </w:rPr>
      </w:pPr>
      <w:r>
        <w:rPr>
          <w:rFonts w:ascii="宋体" w:hAnsi="宋体" w:hint="eastAsia"/>
          <w:szCs w:val="21"/>
        </w:rPr>
        <w:t>______________________</w:t>
      </w:r>
    </w:p>
    <w:p>
      <w:pPr>
        <w:pStyle w:val="PlainText"/>
        <w:snapToGrid w:val="0"/>
        <w:spacing w:line="360" w:lineRule="auto"/>
        <w:ind w:firstLine="420" w:firstLineChars="200"/>
        <w:rPr>
          <w:rFonts w:hAnsi="宋体"/>
          <w:b/>
          <w:sz w:val="21"/>
          <w:szCs w:val="21"/>
        </w:rPr>
      </w:pPr>
      <w:r>
        <w:rPr>
          <w:rFonts w:hAnsi="宋体" w:hint="eastAsia"/>
          <w:b/>
          <w:sz w:val="21"/>
          <w:szCs w:val="21"/>
        </w:rPr>
        <w:t>二、合同金额</w:t>
      </w:r>
    </w:p>
    <w:p>
      <w:pPr>
        <w:pStyle w:val="PlainText"/>
        <w:snapToGrid w:val="0"/>
        <w:spacing w:line="360" w:lineRule="auto"/>
        <w:ind w:firstLine="420" w:firstLineChars="200"/>
        <w:rPr>
          <w:rFonts w:hAnsi="宋体"/>
          <w:sz w:val="21"/>
          <w:szCs w:val="21"/>
        </w:rPr>
      </w:pPr>
      <w:r>
        <w:rPr>
          <w:rFonts w:hAnsi="宋体" w:hint="eastAsia"/>
          <w:sz w:val="21"/>
          <w:szCs w:val="21"/>
        </w:rPr>
        <w:t>本合同金额为（大写）：____________________________________元（￥_______________元）人民币。</w:t>
      </w:r>
    </w:p>
    <w:p>
      <w:pPr>
        <w:pStyle w:val="PlainText"/>
        <w:snapToGrid w:val="0"/>
        <w:spacing w:line="360" w:lineRule="auto"/>
        <w:ind w:firstLine="420" w:firstLineChars="200"/>
        <w:rPr>
          <w:rFonts w:hAnsi="宋体"/>
          <w:b/>
          <w:sz w:val="21"/>
          <w:szCs w:val="21"/>
        </w:rPr>
      </w:pPr>
      <w:r>
        <w:rPr>
          <w:rFonts w:hAnsi="宋体" w:hint="eastAsia"/>
          <w:b/>
          <w:sz w:val="21"/>
          <w:szCs w:val="21"/>
        </w:rPr>
        <w:t>三、技术资料</w:t>
      </w:r>
    </w:p>
    <w:p>
      <w:pPr>
        <w:pStyle w:val="PlainText"/>
        <w:snapToGrid w:val="0"/>
        <w:spacing w:line="360" w:lineRule="auto"/>
        <w:ind w:firstLine="420" w:firstLineChars="200"/>
        <w:rPr>
          <w:rFonts w:hAnsi="宋体"/>
          <w:sz w:val="21"/>
          <w:szCs w:val="21"/>
        </w:rPr>
      </w:pPr>
      <w:r>
        <w:rPr>
          <w:rFonts w:hAnsi="宋体" w:hint="eastAsia"/>
          <w:sz w:val="21"/>
          <w:szCs w:val="21"/>
        </w:rPr>
        <w:t>1、中标人应按招标文件规定的时间向采购人提供有关技术资料。</w:t>
      </w:r>
    </w:p>
    <w:p>
      <w:pPr>
        <w:pStyle w:val="PlainText"/>
        <w:snapToGrid w:val="0"/>
        <w:spacing w:line="360" w:lineRule="auto"/>
        <w:ind w:firstLine="420" w:firstLineChars="200"/>
        <w:rPr>
          <w:rFonts w:hAnsi="宋体"/>
          <w:sz w:val="21"/>
          <w:szCs w:val="21"/>
        </w:rPr>
      </w:pPr>
      <w:r>
        <w:rPr>
          <w:rFonts w:hAnsi="宋体" w:hint="eastAsia"/>
          <w:sz w:val="21"/>
          <w:szCs w:val="21"/>
        </w:rPr>
        <w:t>2、没有采购人事先书面同意，中标人不得将由采购人提供的有关合同或任何合同条文、项目资料提供给与履行本合同无关的任何其他人。即使向履行本合同有关的人员提供，也应注意保密并限于履行合同的必需范围。</w:t>
      </w:r>
    </w:p>
    <w:p>
      <w:pPr>
        <w:pStyle w:val="PlainText"/>
        <w:snapToGrid w:val="0"/>
        <w:spacing w:line="360" w:lineRule="auto"/>
        <w:ind w:firstLine="420" w:firstLineChars="200"/>
        <w:rPr>
          <w:rFonts w:hAnsi="宋体"/>
          <w:sz w:val="21"/>
          <w:szCs w:val="21"/>
        </w:rPr>
      </w:pPr>
      <w:r>
        <w:rPr>
          <w:rFonts w:hAnsi="宋体" w:hint="eastAsia"/>
          <w:sz w:val="21"/>
          <w:szCs w:val="21"/>
        </w:rPr>
        <w:t>3、合同履行完毕，未经采购人的书面同意，中标人不得保存在履行合同过程中所获得或接触到的任何内部数据资料。</w:t>
      </w:r>
    </w:p>
    <w:p>
      <w:pPr>
        <w:pStyle w:val="PlainText"/>
        <w:snapToGrid w:val="0"/>
        <w:spacing w:line="360" w:lineRule="auto"/>
        <w:ind w:firstLine="420" w:firstLineChars="200"/>
        <w:rPr>
          <w:rFonts w:hAnsi="宋体"/>
          <w:b/>
          <w:sz w:val="21"/>
          <w:szCs w:val="21"/>
        </w:rPr>
      </w:pPr>
      <w:r>
        <w:rPr>
          <w:rFonts w:hAnsi="宋体" w:hint="eastAsia"/>
          <w:b/>
          <w:sz w:val="21"/>
          <w:szCs w:val="21"/>
        </w:rPr>
        <w:t>四、知识产权</w:t>
      </w:r>
    </w:p>
    <w:p>
      <w:pPr>
        <w:pStyle w:val="PlainText"/>
        <w:snapToGrid w:val="0"/>
        <w:spacing w:line="360" w:lineRule="auto"/>
        <w:ind w:firstLine="420" w:firstLineChars="200"/>
        <w:rPr>
          <w:rFonts w:hAnsi="宋体"/>
          <w:bCs/>
          <w:sz w:val="21"/>
          <w:szCs w:val="21"/>
        </w:rPr>
      </w:pPr>
      <w:r>
        <w:rPr>
          <w:rFonts w:hAnsi="宋体" w:hint="eastAsia"/>
          <w:sz w:val="21"/>
          <w:szCs w:val="21"/>
        </w:rPr>
        <w:t>中标人应保证提供服务过程中不会侵犯任何第三方的知识产权</w:t>
      </w:r>
      <w:r>
        <w:rPr>
          <w:rFonts w:hAnsi="宋体" w:hint="eastAsia"/>
          <w:bCs/>
          <w:sz w:val="21"/>
          <w:szCs w:val="21"/>
        </w:rPr>
        <w:t>。</w:t>
      </w:r>
    </w:p>
    <w:p>
      <w:pPr>
        <w:pStyle w:val="PlainText"/>
        <w:snapToGrid w:val="0"/>
        <w:spacing w:line="360" w:lineRule="auto"/>
        <w:ind w:firstLine="420" w:firstLineChars="200"/>
        <w:rPr>
          <w:rFonts w:hAnsi="宋体"/>
          <w:b/>
          <w:sz w:val="21"/>
          <w:szCs w:val="21"/>
        </w:rPr>
      </w:pPr>
      <w:r>
        <w:rPr>
          <w:rFonts w:hAnsi="宋体" w:hint="eastAsia"/>
          <w:b/>
          <w:sz w:val="21"/>
          <w:szCs w:val="21"/>
        </w:rPr>
        <w:t>五、履约保证金</w:t>
      </w:r>
    </w:p>
    <w:p>
      <w:pPr>
        <w:snapToGrid w:val="0"/>
        <w:spacing w:line="360" w:lineRule="auto"/>
        <w:ind w:firstLine="420" w:firstLineChars="200"/>
        <w:rPr>
          <w:rFonts w:ascii="宋体" w:hAnsi="宋体"/>
          <w:b/>
          <w:szCs w:val="21"/>
        </w:rPr>
      </w:pPr>
      <w:r>
        <w:rPr>
          <w:rFonts w:ascii="宋体" w:hAnsi="宋体" w:hint="eastAsia"/>
          <w:b/>
          <w:szCs w:val="21"/>
        </w:rPr>
        <w:t>六、采购人的权利与义务</w:t>
      </w:r>
    </w:p>
    <w:p>
      <w:pPr>
        <w:snapToGrid w:val="0"/>
        <w:spacing w:line="360" w:lineRule="auto"/>
        <w:ind w:firstLine="420" w:firstLineChars="200"/>
        <w:rPr>
          <w:rFonts w:ascii="宋体" w:hAnsi="宋体"/>
          <w:szCs w:val="21"/>
        </w:rPr>
      </w:pPr>
      <w:r>
        <w:rPr>
          <w:rFonts w:ascii="宋体" w:hAnsi="宋体" w:hint="eastAsia"/>
          <w:szCs w:val="21"/>
        </w:rPr>
        <w:t>1、_______________________</w:t>
      </w:r>
    </w:p>
    <w:p>
      <w:pPr>
        <w:snapToGrid w:val="0"/>
        <w:spacing w:line="360" w:lineRule="auto"/>
        <w:ind w:firstLine="420" w:firstLineChars="200"/>
        <w:rPr>
          <w:rFonts w:ascii="宋体" w:hAnsi="宋体"/>
          <w:szCs w:val="21"/>
        </w:rPr>
      </w:pPr>
      <w:r>
        <w:rPr>
          <w:rFonts w:ascii="宋体" w:hAnsi="宋体" w:hint="eastAsia"/>
          <w:szCs w:val="21"/>
        </w:rPr>
        <w:t>2、_______________________</w:t>
      </w:r>
    </w:p>
    <w:p>
      <w:pPr>
        <w:snapToGrid w:val="0"/>
        <w:spacing w:line="360" w:lineRule="auto"/>
        <w:ind w:firstLine="420" w:firstLineChars="200"/>
        <w:rPr>
          <w:rFonts w:ascii="宋体" w:hAnsi="宋体"/>
          <w:szCs w:val="21"/>
        </w:rPr>
      </w:pPr>
      <w:r>
        <w:rPr>
          <w:rFonts w:ascii="宋体" w:hAnsi="宋体" w:hint="eastAsia"/>
          <w:szCs w:val="21"/>
        </w:rPr>
        <w:t>3、_______________________</w:t>
      </w:r>
    </w:p>
    <w:p>
      <w:pPr>
        <w:snapToGrid w:val="0"/>
        <w:spacing w:line="360" w:lineRule="auto"/>
        <w:ind w:firstLine="420" w:firstLineChars="200"/>
        <w:rPr>
          <w:rFonts w:ascii="宋体" w:hAnsi="宋体"/>
          <w:szCs w:val="21"/>
        </w:rPr>
      </w:pPr>
      <w:r>
        <w:rPr>
          <w:rFonts w:ascii="宋体" w:hAnsi="宋体" w:hint="eastAsia"/>
          <w:szCs w:val="21"/>
        </w:rPr>
        <w:t>4、_______________________</w:t>
      </w:r>
    </w:p>
    <w:p>
      <w:pPr>
        <w:snapToGrid w:val="0"/>
        <w:spacing w:line="360" w:lineRule="auto"/>
        <w:ind w:firstLine="420" w:firstLineChars="200"/>
        <w:rPr>
          <w:rFonts w:ascii="宋体" w:hAnsi="宋体"/>
          <w:szCs w:val="21"/>
        </w:rPr>
      </w:pPr>
      <w:r>
        <w:rPr>
          <w:rFonts w:ascii="宋体" w:hAnsi="宋体" w:hint="eastAsia"/>
          <w:szCs w:val="21"/>
        </w:rPr>
        <w:t>5、采购人的其它权利与义务_______________________</w:t>
      </w:r>
    </w:p>
    <w:p>
      <w:pPr>
        <w:snapToGrid w:val="0"/>
        <w:spacing w:line="360" w:lineRule="auto"/>
        <w:ind w:firstLine="420" w:firstLineChars="200"/>
        <w:rPr>
          <w:rFonts w:ascii="宋体" w:hAnsi="宋体"/>
          <w:b/>
          <w:szCs w:val="21"/>
        </w:rPr>
      </w:pPr>
      <w:r>
        <w:rPr>
          <w:rFonts w:ascii="宋体" w:hAnsi="宋体" w:hint="eastAsia"/>
          <w:b/>
          <w:szCs w:val="21"/>
        </w:rPr>
        <w:t>七、中标人的权利与义务</w:t>
      </w:r>
    </w:p>
    <w:p>
      <w:pPr>
        <w:snapToGrid w:val="0"/>
        <w:spacing w:line="360" w:lineRule="auto"/>
        <w:ind w:firstLine="420" w:firstLineChars="200"/>
        <w:rPr>
          <w:rFonts w:ascii="宋体" w:hAnsi="宋体"/>
          <w:szCs w:val="21"/>
        </w:rPr>
      </w:pPr>
      <w:r>
        <w:rPr>
          <w:rFonts w:ascii="宋体" w:hAnsi="宋体" w:hint="eastAsia"/>
          <w:szCs w:val="21"/>
        </w:rPr>
        <w:t>1、_______________________</w:t>
      </w:r>
    </w:p>
    <w:p>
      <w:pPr>
        <w:snapToGrid w:val="0"/>
        <w:spacing w:line="360" w:lineRule="auto"/>
        <w:ind w:firstLine="420" w:firstLineChars="200"/>
        <w:rPr>
          <w:rFonts w:ascii="宋体" w:hAnsi="宋体"/>
          <w:szCs w:val="21"/>
        </w:rPr>
      </w:pPr>
      <w:r>
        <w:rPr>
          <w:rFonts w:ascii="宋体" w:hAnsi="宋体" w:hint="eastAsia"/>
          <w:szCs w:val="21"/>
        </w:rPr>
        <w:t>2、_______________________</w:t>
      </w:r>
    </w:p>
    <w:p>
      <w:pPr>
        <w:snapToGrid w:val="0"/>
        <w:spacing w:line="360" w:lineRule="auto"/>
        <w:ind w:firstLine="420" w:firstLineChars="200"/>
        <w:rPr>
          <w:rFonts w:ascii="宋体" w:hAnsi="宋体"/>
          <w:szCs w:val="21"/>
        </w:rPr>
      </w:pPr>
      <w:r>
        <w:rPr>
          <w:rFonts w:ascii="宋体" w:hAnsi="宋体" w:hint="eastAsia"/>
          <w:szCs w:val="21"/>
        </w:rPr>
        <w:t>3、_______________________</w:t>
      </w:r>
    </w:p>
    <w:p>
      <w:pPr>
        <w:snapToGrid w:val="0"/>
        <w:spacing w:line="360" w:lineRule="auto"/>
        <w:ind w:firstLine="420" w:firstLineChars="200"/>
        <w:rPr>
          <w:rFonts w:ascii="宋体" w:hAnsi="宋体"/>
          <w:szCs w:val="21"/>
        </w:rPr>
      </w:pPr>
      <w:r>
        <w:rPr>
          <w:rFonts w:ascii="宋体" w:hAnsi="宋体" w:hint="eastAsia"/>
          <w:szCs w:val="21"/>
        </w:rPr>
        <w:t>4、_______________________</w:t>
      </w:r>
    </w:p>
    <w:p>
      <w:pPr>
        <w:snapToGrid w:val="0"/>
        <w:spacing w:line="360" w:lineRule="auto"/>
        <w:ind w:firstLine="420" w:firstLineChars="200"/>
        <w:rPr>
          <w:rFonts w:ascii="宋体" w:hAnsi="宋体"/>
          <w:szCs w:val="21"/>
        </w:rPr>
      </w:pPr>
      <w:r>
        <w:rPr>
          <w:rFonts w:ascii="宋体" w:hAnsi="宋体" w:hint="eastAsia"/>
          <w:szCs w:val="21"/>
        </w:rPr>
        <w:t>5、中标人的其它权利与义务_______________________</w:t>
      </w:r>
    </w:p>
    <w:p>
      <w:pPr>
        <w:pStyle w:val="PlainText"/>
        <w:snapToGrid w:val="0"/>
        <w:spacing w:line="360" w:lineRule="auto"/>
        <w:ind w:firstLine="420" w:firstLineChars="200"/>
        <w:rPr>
          <w:rFonts w:hAnsi="宋体"/>
          <w:b/>
          <w:sz w:val="21"/>
          <w:szCs w:val="21"/>
        </w:rPr>
      </w:pPr>
      <w:r>
        <w:rPr>
          <w:rFonts w:hAnsi="宋体" w:hint="eastAsia"/>
          <w:b/>
          <w:sz w:val="21"/>
          <w:szCs w:val="21"/>
        </w:rPr>
        <w:t>八、合同履行时间、履行方式及履行地点</w:t>
      </w:r>
    </w:p>
    <w:p>
      <w:pPr>
        <w:pStyle w:val="PlainText"/>
        <w:snapToGrid w:val="0"/>
        <w:spacing w:line="360" w:lineRule="auto"/>
        <w:ind w:firstLine="420" w:firstLineChars="200"/>
        <w:rPr>
          <w:rFonts w:hAnsi="宋体"/>
          <w:bCs/>
          <w:sz w:val="21"/>
          <w:szCs w:val="21"/>
        </w:rPr>
      </w:pPr>
      <w:r>
        <w:rPr>
          <w:rFonts w:hAnsi="宋体" w:hint="eastAsia"/>
          <w:bCs/>
          <w:sz w:val="21"/>
          <w:szCs w:val="21"/>
        </w:rPr>
        <w:t>1、</w:t>
      </w:r>
      <w:r>
        <w:rPr>
          <w:rFonts w:hAnsi="宋体" w:hint="eastAsia"/>
          <w:sz w:val="21"/>
          <w:szCs w:val="21"/>
        </w:rPr>
        <w:t>履行时间</w:t>
      </w:r>
      <w:r>
        <w:rPr>
          <w:rFonts w:hAnsi="宋体" w:hint="eastAsia"/>
          <w:bCs/>
          <w:sz w:val="21"/>
          <w:szCs w:val="21"/>
        </w:rPr>
        <w:t>：</w:t>
      </w:r>
      <w:r>
        <w:rPr>
          <w:rFonts w:hAnsi="宋体" w:hint="eastAsia"/>
          <w:sz w:val="21"/>
          <w:szCs w:val="21"/>
        </w:rPr>
        <w:t>______________________</w:t>
      </w:r>
    </w:p>
    <w:p>
      <w:pPr>
        <w:pStyle w:val="PlainText"/>
        <w:snapToGrid w:val="0"/>
        <w:spacing w:line="360" w:lineRule="auto"/>
        <w:ind w:firstLine="420" w:firstLineChars="200"/>
        <w:rPr>
          <w:rFonts w:hAnsi="宋体"/>
          <w:bCs/>
          <w:sz w:val="21"/>
          <w:szCs w:val="21"/>
        </w:rPr>
      </w:pPr>
      <w:r>
        <w:rPr>
          <w:rFonts w:hAnsi="宋体" w:hint="eastAsia"/>
          <w:bCs/>
          <w:sz w:val="21"/>
          <w:szCs w:val="21"/>
        </w:rPr>
        <w:t>2、</w:t>
      </w:r>
      <w:r>
        <w:rPr>
          <w:rFonts w:hAnsi="宋体" w:hint="eastAsia"/>
          <w:sz w:val="21"/>
          <w:szCs w:val="21"/>
        </w:rPr>
        <w:t>履行方式</w:t>
      </w:r>
      <w:r>
        <w:rPr>
          <w:rFonts w:hAnsi="宋体" w:hint="eastAsia"/>
          <w:bCs/>
          <w:sz w:val="21"/>
          <w:szCs w:val="21"/>
        </w:rPr>
        <w:t>：</w:t>
      </w:r>
      <w:r>
        <w:rPr>
          <w:rFonts w:hAnsi="宋体" w:hint="eastAsia"/>
          <w:sz w:val="21"/>
          <w:szCs w:val="21"/>
        </w:rPr>
        <w:t>______________________</w:t>
      </w:r>
    </w:p>
    <w:p>
      <w:pPr>
        <w:pStyle w:val="PlainText"/>
        <w:snapToGrid w:val="0"/>
        <w:spacing w:line="360" w:lineRule="auto"/>
        <w:ind w:firstLine="420" w:firstLineChars="200"/>
        <w:rPr>
          <w:rFonts w:hAnsi="宋体"/>
          <w:sz w:val="21"/>
          <w:szCs w:val="21"/>
        </w:rPr>
      </w:pPr>
      <w:r>
        <w:rPr>
          <w:rFonts w:hAnsi="宋体" w:hint="eastAsia"/>
          <w:bCs/>
          <w:sz w:val="21"/>
          <w:szCs w:val="21"/>
        </w:rPr>
        <w:t>3、</w:t>
      </w:r>
      <w:r>
        <w:rPr>
          <w:rFonts w:hAnsi="宋体" w:hint="eastAsia"/>
          <w:sz w:val="21"/>
          <w:szCs w:val="21"/>
        </w:rPr>
        <w:t>履行地点</w:t>
      </w:r>
      <w:r>
        <w:rPr>
          <w:rFonts w:hAnsi="宋体" w:hint="eastAsia"/>
          <w:bCs/>
          <w:sz w:val="21"/>
          <w:szCs w:val="21"/>
        </w:rPr>
        <w:t>：</w:t>
      </w:r>
      <w:r>
        <w:rPr>
          <w:rFonts w:hAnsi="宋体" w:hint="eastAsia"/>
          <w:sz w:val="21"/>
          <w:szCs w:val="21"/>
          <w:u w:val="single"/>
        </w:rPr>
        <w:t>深圳市</w:t>
      </w:r>
    </w:p>
    <w:p>
      <w:pPr>
        <w:snapToGrid w:val="0"/>
        <w:spacing w:line="360" w:lineRule="auto"/>
        <w:ind w:firstLine="420" w:firstLineChars="200"/>
        <w:rPr>
          <w:rFonts w:ascii="宋体" w:hAnsi="宋体"/>
          <w:b/>
          <w:szCs w:val="21"/>
        </w:rPr>
      </w:pPr>
      <w:r>
        <w:rPr>
          <w:rFonts w:ascii="宋体" w:hAnsi="宋体" w:hint="eastAsia"/>
          <w:b/>
          <w:szCs w:val="21"/>
        </w:rPr>
        <w:t>九、验收</w:t>
      </w:r>
    </w:p>
    <w:p>
      <w:pPr>
        <w:snapToGrid w:val="0"/>
        <w:spacing w:line="360" w:lineRule="auto"/>
        <w:ind w:firstLine="420" w:firstLineChars="200"/>
        <w:rPr>
          <w:rFonts w:ascii="宋体" w:hAnsi="宋体"/>
          <w:szCs w:val="21"/>
        </w:rPr>
      </w:pPr>
      <w:r>
        <w:rPr>
          <w:rFonts w:ascii="宋体" w:hAnsi="宋体" w:hint="eastAsia"/>
          <w:szCs w:val="21"/>
        </w:rPr>
        <w:t>1、下列文件的验收分为______个阶段:</w:t>
      </w:r>
    </w:p>
    <w:p>
      <w:pPr>
        <w:snapToGrid w:val="0"/>
        <w:spacing w:line="360" w:lineRule="auto"/>
        <w:ind w:firstLine="420" w:firstLineChars="200"/>
        <w:rPr>
          <w:rFonts w:ascii="宋体" w:hAnsi="宋体"/>
          <w:szCs w:val="21"/>
        </w:rPr>
      </w:pPr>
      <w:r>
        <w:rPr>
          <w:rFonts w:ascii="宋体" w:hAnsi="宋体" w:hint="eastAsia"/>
          <w:szCs w:val="21"/>
        </w:rPr>
        <w:t>2、其余文件和工作由用户组织有关技术人员根据国家和行业有关规范、规程、标准和用户需求直接验收。</w:t>
      </w:r>
    </w:p>
    <w:p>
      <w:pPr>
        <w:snapToGrid w:val="0"/>
        <w:spacing w:line="360" w:lineRule="auto"/>
        <w:ind w:firstLine="420" w:firstLineChars="200"/>
        <w:rPr>
          <w:rFonts w:ascii="宋体" w:hAnsi="宋体"/>
          <w:szCs w:val="21"/>
        </w:rPr>
      </w:pPr>
      <w:r>
        <w:rPr>
          <w:rFonts w:ascii="宋体" w:hAnsi="宋体" w:hint="eastAsia"/>
          <w:szCs w:val="21"/>
        </w:rPr>
        <w:t>3、验收依据为招标文件、中标人投标文件，国家和行业有关规范、规程和标准。</w:t>
      </w:r>
    </w:p>
    <w:p>
      <w:pPr>
        <w:pStyle w:val="PlainText"/>
        <w:snapToGrid w:val="0"/>
        <w:spacing w:line="360" w:lineRule="auto"/>
        <w:ind w:firstLine="420" w:firstLineChars="200"/>
        <w:rPr>
          <w:rFonts w:hAnsi="宋体"/>
          <w:b/>
          <w:sz w:val="21"/>
          <w:szCs w:val="21"/>
        </w:rPr>
      </w:pPr>
      <w:r>
        <w:rPr>
          <w:rFonts w:hAnsi="宋体" w:hint="eastAsia"/>
          <w:b/>
          <w:sz w:val="21"/>
          <w:szCs w:val="21"/>
        </w:rPr>
        <w:t>十、付款方式和税费</w:t>
      </w:r>
    </w:p>
    <w:p>
      <w:pPr>
        <w:pStyle w:val="PlainText"/>
        <w:snapToGrid w:val="0"/>
        <w:spacing w:line="360" w:lineRule="auto"/>
        <w:ind w:firstLine="420" w:firstLineChars="200"/>
        <w:rPr>
          <w:rFonts w:hAnsi="宋体"/>
          <w:bCs/>
          <w:sz w:val="21"/>
          <w:szCs w:val="21"/>
        </w:rPr>
      </w:pPr>
      <w:r>
        <w:rPr>
          <w:rFonts w:hAnsi="宋体" w:cs="宋体"/>
          <w:sz w:val="21"/>
          <w:szCs w:val="21"/>
        </w:rPr>
        <w:t>本合同付款方式为</w:t>
      </w:r>
      <w:r>
        <w:rPr>
          <w:rFonts w:hAnsi="宋体" w:cs="宋体" w:hint="eastAsia"/>
          <w:sz w:val="21"/>
          <w:szCs w:val="21"/>
        </w:rPr>
        <w:t>：</w:t>
      </w:r>
      <w:r>
        <w:rPr>
          <w:rFonts w:hAnsi="宋体" w:cs="宋体" w:hint="eastAsia"/>
          <w:sz w:val="21"/>
          <w:szCs w:val="21"/>
          <w:u w:val="single"/>
        </w:rPr>
        <w:t xml:space="preserve">                </w:t>
      </w:r>
      <w:r>
        <w:rPr>
          <w:rFonts w:hAnsi="宋体" w:hint="eastAsia"/>
          <w:bCs/>
          <w:sz w:val="21"/>
          <w:szCs w:val="21"/>
        </w:rPr>
        <w:t>。</w:t>
      </w:r>
    </w:p>
    <w:p>
      <w:pPr>
        <w:snapToGrid w:val="0"/>
        <w:spacing w:line="360" w:lineRule="auto"/>
        <w:ind w:firstLine="420" w:firstLineChars="200"/>
        <w:rPr>
          <w:rFonts w:ascii="宋体" w:hAnsi="宋体"/>
          <w:szCs w:val="21"/>
        </w:rPr>
      </w:pPr>
      <w:r>
        <w:rPr>
          <w:rFonts w:ascii="宋体" w:hAnsi="宋体" w:hint="eastAsia"/>
          <w:szCs w:val="21"/>
        </w:rPr>
        <w:t>本合同执行中相关的一切税费均由中标人负担。</w:t>
      </w:r>
    </w:p>
    <w:p>
      <w:pPr>
        <w:snapToGrid w:val="0"/>
        <w:spacing w:line="360" w:lineRule="auto"/>
        <w:ind w:firstLine="420" w:firstLineChars="200"/>
        <w:rPr>
          <w:rFonts w:ascii="宋体" w:hAnsi="宋体"/>
          <w:b/>
          <w:bCs/>
          <w:szCs w:val="21"/>
        </w:rPr>
      </w:pPr>
      <w:r>
        <w:rPr>
          <w:rFonts w:ascii="宋体" w:hAnsi="宋体" w:hint="eastAsia"/>
          <w:b/>
          <w:szCs w:val="21"/>
        </w:rPr>
        <w:t>十一、</w:t>
      </w:r>
      <w:r>
        <w:rPr>
          <w:rFonts w:ascii="宋体" w:hAnsi="宋体" w:hint="eastAsia"/>
          <w:b/>
          <w:bCs/>
          <w:szCs w:val="21"/>
        </w:rPr>
        <w:t>争议解决办法</w:t>
      </w:r>
    </w:p>
    <w:p>
      <w:pPr>
        <w:snapToGrid w:val="0"/>
        <w:spacing w:line="360" w:lineRule="auto"/>
        <w:ind w:firstLine="420" w:firstLineChars="200"/>
        <w:rPr>
          <w:rFonts w:ascii="宋体" w:hAnsi="宋体"/>
          <w:szCs w:val="21"/>
        </w:rPr>
      </w:pPr>
      <w:r>
        <w:rPr>
          <w:rFonts w:asciiTheme="minorEastAsia" w:hAnsiTheme="minorEastAsia"/>
          <w:szCs w:val="21"/>
        </w:rPr>
        <w:t>因履行本合同引起的或与本合同有关的争议，甲、乙双方应首先通过友好协商解决，如果协商不能解决争议，则向甲方所在地有管辖权的人民法院提起诉讼</w:t>
      </w:r>
      <w:r>
        <w:rPr>
          <w:rFonts w:ascii="宋体" w:hAnsi="宋体" w:hint="eastAsia"/>
          <w:szCs w:val="21"/>
        </w:rPr>
        <w:t>。</w:t>
      </w:r>
    </w:p>
    <w:p>
      <w:pPr>
        <w:pStyle w:val="PlainText"/>
        <w:snapToGrid w:val="0"/>
        <w:spacing w:line="360" w:lineRule="auto"/>
        <w:ind w:firstLine="420" w:firstLineChars="200"/>
        <w:rPr>
          <w:rFonts w:hAnsi="宋体"/>
          <w:b/>
          <w:sz w:val="21"/>
          <w:szCs w:val="21"/>
        </w:rPr>
      </w:pPr>
      <w:r>
        <w:rPr>
          <w:rFonts w:hAnsi="宋体" w:hint="eastAsia"/>
          <w:b/>
          <w:sz w:val="21"/>
          <w:szCs w:val="21"/>
        </w:rPr>
        <w:t>十二、违约责任</w:t>
      </w:r>
    </w:p>
    <w:p>
      <w:pPr>
        <w:pStyle w:val="PlainText"/>
        <w:snapToGrid w:val="0"/>
        <w:spacing w:line="360" w:lineRule="auto"/>
        <w:ind w:firstLine="420" w:firstLineChars="200"/>
        <w:rPr>
          <w:rFonts w:hAnsi="宋体"/>
          <w:sz w:val="21"/>
          <w:szCs w:val="21"/>
        </w:rPr>
      </w:pPr>
      <w:r>
        <w:rPr>
          <w:rFonts w:hAnsi="宋体" w:hint="eastAsia"/>
          <w:sz w:val="21"/>
          <w:szCs w:val="21"/>
        </w:rPr>
        <w:t>1、因中标人原因，未能按规定完成本项目有关工作的，采购人可在支付合同余款中扣除合同价款</w:t>
      </w:r>
      <w:r>
        <w:rPr>
          <w:rFonts w:hAnsi="宋体" w:hint="eastAsia"/>
          <w:sz w:val="21"/>
          <w:szCs w:val="21"/>
          <w:u w:val="single"/>
        </w:rPr>
        <w:t xml:space="preserve">        </w:t>
      </w:r>
      <w:r>
        <w:rPr>
          <w:rFonts w:hAnsi="宋体" w:hint="eastAsia"/>
          <w:sz w:val="21"/>
          <w:szCs w:val="21"/>
        </w:rPr>
        <w:t>。</w:t>
      </w:r>
    </w:p>
    <w:p>
      <w:pPr>
        <w:snapToGrid w:val="0"/>
        <w:spacing w:line="360" w:lineRule="auto"/>
        <w:ind w:firstLine="420" w:firstLineChars="200"/>
        <w:rPr>
          <w:rFonts w:ascii="宋体" w:hAnsi="宋体"/>
          <w:szCs w:val="21"/>
        </w:rPr>
      </w:pPr>
      <w:r>
        <w:rPr>
          <w:rFonts w:ascii="宋体" w:hAnsi="宋体" w:hint="eastAsia"/>
          <w:szCs w:val="21"/>
        </w:rPr>
        <w:t>2、__________方违反本合同__________约定，应当__________。</w:t>
      </w:r>
    </w:p>
    <w:p>
      <w:pPr>
        <w:snapToGrid w:val="0"/>
        <w:spacing w:line="360" w:lineRule="auto"/>
        <w:ind w:firstLine="420" w:firstLineChars="200"/>
        <w:rPr>
          <w:rFonts w:ascii="宋体" w:hAnsi="宋体"/>
          <w:b/>
          <w:bCs/>
          <w:szCs w:val="21"/>
        </w:rPr>
      </w:pPr>
      <w:r>
        <w:rPr>
          <w:rFonts w:ascii="宋体" w:hAnsi="宋体" w:hint="eastAsia"/>
          <w:b/>
          <w:szCs w:val="21"/>
        </w:rPr>
        <w:t>十三、</w:t>
      </w:r>
      <w:r>
        <w:rPr>
          <w:rFonts w:asciiTheme="minorEastAsia" w:hAnsiTheme="minorEastAsia" w:hint="eastAsia"/>
          <w:b/>
          <w:szCs w:val="21"/>
        </w:rPr>
        <w:t>合同的变更、解除或终止</w:t>
      </w:r>
    </w:p>
    <w:p>
      <w:pPr>
        <w:snapToGrid w:val="0"/>
        <w:spacing w:line="360" w:lineRule="auto"/>
        <w:ind w:firstLine="420" w:firstLineChars="200"/>
        <w:rPr>
          <w:rFonts w:ascii="宋体" w:hAnsi="宋体"/>
          <w:b/>
          <w:bCs/>
          <w:szCs w:val="21"/>
        </w:rPr>
      </w:pPr>
      <w:r>
        <w:rPr>
          <w:rFonts w:ascii="宋体" w:hAnsi="宋体" w:hint="eastAsia"/>
          <w:szCs w:val="21"/>
        </w:rPr>
        <w:t>除政府采购合同继续履行将损害国家利益和社会公共利益外，双方当事人不得擅自变更、中止或者终止合同。</w:t>
      </w:r>
    </w:p>
    <w:p>
      <w:pPr>
        <w:snapToGrid w:val="0"/>
        <w:spacing w:line="360" w:lineRule="auto"/>
        <w:ind w:firstLine="420" w:firstLineChars="200"/>
        <w:rPr>
          <w:rFonts w:ascii="宋体" w:hAnsi="宋体"/>
          <w:b/>
          <w:bCs/>
          <w:szCs w:val="21"/>
        </w:rPr>
      </w:pPr>
      <w:r>
        <w:rPr>
          <w:rFonts w:ascii="宋体" w:hAnsi="宋体" w:hint="eastAsia"/>
          <w:b/>
          <w:szCs w:val="21"/>
        </w:rPr>
        <w:t>十四、</w:t>
      </w:r>
      <w:r>
        <w:rPr>
          <w:rFonts w:asciiTheme="minorEastAsia" w:hAnsiTheme="minorEastAsia" w:hint="eastAsia"/>
          <w:b/>
          <w:szCs w:val="21"/>
        </w:rPr>
        <w:t>合同生效及其他</w:t>
      </w:r>
    </w:p>
    <w:p>
      <w:pPr>
        <w:snapToGrid w:val="0"/>
        <w:spacing w:line="360" w:lineRule="auto"/>
        <w:ind w:firstLine="420" w:firstLineChars="200"/>
        <w:rPr>
          <w:rFonts w:ascii="宋体" w:hAnsi="宋体"/>
          <w:szCs w:val="21"/>
        </w:rPr>
      </w:pPr>
      <w:r>
        <w:rPr>
          <w:rFonts w:ascii="宋体" w:hAnsi="宋体" w:hint="eastAsia"/>
          <w:szCs w:val="21"/>
        </w:rPr>
        <w:t>1、本合同与招标文件、中标人投标文件如有抵触之处，以本合同条款为准。</w:t>
      </w:r>
    </w:p>
    <w:p>
      <w:pPr>
        <w:snapToGrid w:val="0"/>
        <w:spacing w:line="360" w:lineRule="auto"/>
        <w:ind w:firstLine="420" w:firstLineChars="200"/>
        <w:rPr>
          <w:rFonts w:ascii="宋体" w:hAnsi="宋体"/>
          <w:szCs w:val="21"/>
        </w:rPr>
      </w:pPr>
      <w:r>
        <w:rPr>
          <w:rFonts w:ascii="宋体" w:hAnsi="宋体" w:hint="eastAsia"/>
          <w:szCs w:val="21"/>
        </w:rPr>
        <w:t>2、下列文件均为本合同的组成部分：</w:t>
      </w:r>
    </w:p>
    <w:p>
      <w:pPr>
        <w:snapToGrid w:val="0"/>
        <w:spacing w:line="360" w:lineRule="auto"/>
        <w:ind w:firstLine="420" w:firstLineChars="200"/>
        <w:rPr>
          <w:rFonts w:ascii="宋体" w:hAnsi="宋体"/>
          <w:szCs w:val="21"/>
        </w:rPr>
      </w:pPr>
      <w:r>
        <w:rPr>
          <w:rFonts w:ascii="宋体" w:hAnsi="宋体" w:hint="eastAsia"/>
          <w:szCs w:val="21"/>
        </w:rPr>
        <w:t>（1）招标文件、答疑及补充通知；</w:t>
      </w:r>
    </w:p>
    <w:p>
      <w:pPr>
        <w:snapToGrid w:val="0"/>
        <w:spacing w:line="360" w:lineRule="auto"/>
        <w:ind w:firstLine="420" w:firstLineChars="200"/>
        <w:rPr>
          <w:rFonts w:ascii="宋体" w:hAnsi="宋体"/>
          <w:szCs w:val="21"/>
        </w:rPr>
      </w:pPr>
      <w:r>
        <w:rPr>
          <w:rFonts w:ascii="宋体" w:hAnsi="宋体" w:hint="eastAsia"/>
          <w:szCs w:val="21"/>
        </w:rPr>
        <w:t>（2）</w:t>
      </w:r>
      <w:r>
        <w:rPr>
          <w:rFonts w:asciiTheme="minorEastAsia" w:hAnsiTheme="minorEastAsia"/>
          <w:szCs w:val="21"/>
        </w:rPr>
        <w:t>乙方的</w:t>
      </w:r>
      <w:r>
        <w:rPr>
          <w:rFonts w:ascii="宋体" w:hAnsi="宋体" w:hint="eastAsia"/>
          <w:szCs w:val="21"/>
        </w:rPr>
        <w:t>投标文件；</w:t>
      </w:r>
    </w:p>
    <w:p>
      <w:pPr>
        <w:snapToGrid w:val="0"/>
        <w:spacing w:line="360" w:lineRule="auto"/>
        <w:ind w:firstLine="420" w:firstLineChars="200"/>
        <w:rPr>
          <w:rFonts w:ascii="宋体" w:hAnsi="宋体"/>
          <w:szCs w:val="21"/>
        </w:rPr>
      </w:pPr>
      <w:r>
        <w:rPr>
          <w:rFonts w:ascii="宋体" w:hAnsi="宋体" w:hint="eastAsia"/>
          <w:szCs w:val="21"/>
        </w:rPr>
        <w:t>（3）本合同执行中共同签署的补充与修正文件。</w:t>
      </w:r>
    </w:p>
    <w:p>
      <w:pPr>
        <w:snapToGrid w:val="0"/>
        <w:spacing w:line="360" w:lineRule="auto"/>
        <w:ind w:firstLine="420" w:firstLineChars="200"/>
        <w:rPr>
          <w:rFonts w:ascii="宋体" w:hAnsi="宋体"/>
          <w:szCs w:val="21"/>
        </w:rPr>
      </w:pPr>
      <w:r>
        <w:rPr>
          <w:rFonts w:ascii="宋体" w:hAnsi="宋体" w:hint="eastAsia"/>
          <w:szCs w:val="21"/>
        </w:rPr>
        <w:t>3、本合同一式_____份，甲、中标人双方各执_____份，具有同等法律效力。本合同自双方法定代表人签字（盖章）认可之日起生效。</w:t>
      </w:r>
    </w:p>
    <w:p>
      <w:pPr>
        <w:snapToGrid w:val="0"/>
        <w:spacing w:line="360" w:lineRule="auto"/>
        <w:ind w:firstLine="420" w:firstLineChars="200"/>
        <w:rPr>
          <w:rFonts w:ascii="宋体" w:hAnsi="宋体"/>
          <w:szCs w:val="21"/>
        </w:rPr>
      </w:pPr>
      <w:r>
        <w:rPr>
          <w:rFonts w:ascii="宋体" w:hAnsi="宋体" w:hint="eastAsia"/>
          <w:szCs w:val="21"/>
        </w:rPr>
        <w:t>4、本合同未尽事宜，双方友好协商，达成解决方案，经双方签字后，可作为本合同的有效附件。</w:t>
      </w:r>
    </w:p>
    <w:p>
      <w:pPr>
        <w:pStyle w:val="PlainText"/>
        <w:snapToGrid w:val="0"/>
        <w:spacing w:line="360" w:lineRule="auto"/>
        <w:ind w:firstLine="420" w:firstLineChars="200"/>
        <w:rPr>
          <w:rFonts w:hAnsi="宋体"/>
          <w:sz w:val="21"/>
          <w:szCs w:val="21"/>
        </w:rPr>
      </w:pPr>
      <w:r>
        <w:rPr>
          <w:rFonts w:hAnsi="宋体" w:hint="eastAsia"/>
          <w:sz w:val="21"/>
          <w:szCs w:val="21"/>
        </w:rPr>
        <w:t>附件：</w:t>
      </w:r>
    </w:p>
    <w:p>
      <w:pPr>
        <w:snapToGrid w:val="0"/>
        <w:spacing w:line="360" w:lineRule="auto"/>
        <w:ind w:firstLine="420" w:firstLineChars="200"/>
        <w:rPr>
          <w:rFonts w:ascii="宋体" w:hAnsi="宋体"/>
          <w:szCs w:val="21"/>
        </w:rPr>
      </w:pPr>
      <w:r>
        <w:rPr>
          <w:rFonts w:ascii="宋体" w:hAnsi="宋体" w:hint="eastAsia"/>
          <w:szCs w:val="21"/>
        </w:rPr>
        <w:t>1、《中标/成交通知书》</w:t>
      </w:r>
    </w:p>
    <w:p>
      <w:pPr>
        <w:snapToGrid w:val="0"/>
        <w:spacing w:line="360" w:lineRule="auto"/>
        <w:ind w:firstLine="420" w:firstLineChars="200"/>
        <w:rPr>
          <w:rFonts w:ascii="宋体" w:hAnsi="宋体"/>
          <w:szCs w:val="21"/>
        </w:rPr>
      </w:pPr>
      <w:r>
        <w:rPr>
          <w:rFonts w:ascii="宋体" w:hAnsi="宋体" w:hint="eastAsia"/>
          <w:szCs w:val="21"/>
        </w:rPr>
        <w:t>2、《投标文件》</w:t>
      </w:r>
    </w:p>
    <w:p>
      <w:pPr>
        <w:snapToGrid w:val="0"/>
        <w:spacing w:line="360" w:lineRule="auto"/>
        <w:ind w:firstLine="420" w:firstLineChars="200"/>
        <w:rPr>
          <w:rFonts w:ascii="宋体" w:hAnsi="宋体"/>
          <w:szCs w:val="21"/>
        </w:rPr>
      </w:pPr>
      <w:r>
        <w:rPr>
          <w:rFonts w:ascii="宋体" w:hAnsi="宋体" w:hint="eastAsia"/>
          <w:szCs w:val="21"/>
        </w:rPr>
        <w:t>3、《招标文件》</w:t>
      </w:r>
    </w:p>
    <w:p>
      <w:pPr>
        <w:snapToGrid w:val="0"/>
        <w:spacing w:line="360" w:lineRule="auto"/>
        <w:rPr>
          <w:rFonts w:ascii="宋体" w:hAnsi="宋体"/>
          <w:szCs w:val="21"/>
        </w:rPr>
      </w:pPr>
    </w:p>
    <w:p>
      <w:pPr>
        <w:spacing w:line="360" w:lineRule="auto"/>
        <w:ind w:firstLine="424" w:firstLineChars="202"/>
        <w:jc w:val="left"/>
        <w:rPr>
          <w:rFonts w:asciiTheme="minorEastAsia" w:hAnsiTheme="minorEastAsia"/>
          <w:szCs w:val="21"/>
        </w:rPr>
      </w:pPr>
      <w:r>
        <w:rPr>
          <w:rFonts w:asciiTheme="minorEastAsia" w:hAnsiTheme="minorEastAsia" w:hint="eastAsia"/>
          <w:szCs w:val="21"/>
        </w:rPr>
        <w:t>甲方（采购人）：</w:t>
      </w:r>
      <w:r>
        <w:rPr>
          <w:rFonts w:asciiTheme="minorEastAsia" w:hAnsiTheme="minorEastAsia"/>
          <w:szCs w:val="21"/>
        </w:rPr>
        <w:t>（盖</w:t>
      </w:r>
      <w:r>
        <w:rPr>
          <w:rFonts w:asciiTheme="minorEastAsia" w:hAnsiTheme="minorEastAsia" w:hint="eastAsia"/>
          <w:szCs w:val="21"/>
        </w:rPr>
        <w:t>公</w:t>
      </w:r>
      <w:r>
        <w:rPr>
          <w:rFonts w:asciiTheme="minorEastAsia" w:hAnsiTheme="minorEastAsia"/>
          <w:szCs w:val="21"/>
        </w:rPr>
        <w:t xml:space="preserve">章）  </w:t>
      </w: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 xml:space="preserve">      </w:t>
      </w:r>
      <w:r>
        <w:rPr>
          <w:rFonts w:asciiTheme="minorEastAsia" w:hAnsiTheme="minorEastAsia"/>
          <w:szCs w:val="21"/>
        </w:rPr>
        <w:t>乙方（</w:t>
      </w:r>
      <w:r>
        <w:rPr>
          <w:rFonts w:asciiTheme="minorEastAsia" w:hAnsiTheme="minorEastAsia" w:hint="eastAsia"/>
          <w:szCs w:val="21"/>
        </w:rPr>
        <w:t>中标人</w:t>
      </w:r>
      <w:r>
        <w:rPr>
          <w:rFonts w:asciiTheme="minorEastAsia" w:hAnsiTheme="minorEastAsia"/>
          <w:szCs w:val="21"/>
        </w:rPr>
        <w:t>）：（盖</w:t>
      </w:r>
      <w:r>
        <w:rPr>
          <w:rFonts w:asciiTheme="minorEastAsia" w:hAnsiTheme="minorEastAsia" w:hint="eastAsia"/>
          <w:szCs w:val="21"/>
        </w:rPr>
        <w:t>公</w:t>
      </w:r>
      <w:r>
        <w:rPr>
          <w:rFonts w:asciiTheme="minorEastAsia" w:hAnsiTheme="minorEastAsia"/>
          <w:szCs w:val="21"/>
        </w:rPr>
        <w:t>章）</w:t>
      </w:r>
    </w:p>
    <w:p>
      <w:pPr>
        <w:spacing w:line="360" w:lineRule="auto"/>
        <w:ind w:firstLine="424" w:firstLineChars="202"/>
        <w:jc w:val="left"/>
        <w:rPr>
          <w:rFonts w:asciiTheme="minorEastAsia" w:hAnsiTheme="minorEastAsia"/>
          <w:szCs w:val="21"/>
        </w:rPr>
      </w:pPr>
      <w:r>
        <w:rPr>
          <w:rFonts w:asciiTheme="minorEastAsia" w:hAnsiTheme="minorEastAsia" w:hint="eastAsia"/>
          <w:szCs w:val="21"/>
        </w:rPr>
        <w:t>法定代表人（签字或盖私章）：</w:t>
      </w:r>
      <w:r>
        <w:rPr>
          <w:rFonts w:asciiTheme="minorEastAsia" w:hAnsiTheme="minorEastAsia"/>
          <w:szCs w:val="21"/>
        </w:rPr>
        <w:t xml:space="preserve">                 法定代表人</w:t>
      </w:r>
      <w:r>
        <w:rPr>
          <w:rFonts w:asciiTheme="minorEastAsia" w:hAnsiTheme="minorEastAsia" w:hint="eastAsia"/>
          <w:szCs w:val="21"/>
        </w:rPr>
        <w:t>（签字或盖私章）</w:t>
      </w:r>
      <w:r>
        <w:rPr>
          <w:rFonts w:asciiTheme="minorEastAsia" w:hAnsiTheme="minorEastAsia"/>
          <w:szCs w:val="21"/>
        </w:rPr>
        <w:t xml:space="preserve">： </w:t>
      </w:r>
    </w:p>
    <w:p>
      <w:pPr>
        <w:spacing w:line="360" w:lineRule="auto"/>
        <w:ind w:firstLine="424" w:firstLineChars="202"/>
        <w:jc w:val="left"/>
        <w:rPr>
          <w:rFonts w:asciiTheme="minorEastAsia" w:hAnsiTheme="minorEastAsia"/>
          <w:szCs w:val="21"/>
        </w:rPr>
      </w:pPr>
      <w:r>
        <w:rPr>
          <w:rFonts w:asciiTheme="minorEastAsia" w:hAnsiTheme="minorEastAsia" w:hint="eastAsia"/>
          <w:szCs w:val="21"/>
        </w:rPr>
        <w:t>委托代理人：</w:t>
      </w:r>
      <w:r>
        <w:rPr>
          <w:rFonts w:asciiTheme="minorEastAsia" w:hAnsiTheme="minorEastAsia"/>
          <w:szCs w:val="21"/>
        </w:rPr>
        <w:t xml:space="preserve">                </w:t>
      </w:r>
      <w:r>
        <w:rPr>
          <w:rFonts w:asciiTheme="minorEastAsia" w:hAnsiTheme="minorEastAsia" w:hint="eastAsia"/>
          <w:szCs w:val="21"/>
        </w:rPr>
        <w:t xml:space="preserve">              </w:t>
      </w:r>
      <w:r>
        <w:rPr>
          <w:rFonts w:asciiTheme="minorEastAsia" w:hAnsiTheme="minorEastAsia"/>
          <w:szCs w:val="21"/>
        </w:rPr>
        <w:t xml:space="preserve">  委托代理人：</w:t>
      </w:r>
    </w:p>
    <w:p>
      <w:pPr>
        <w:ind w:firstLine="424" w:firstLineChars="202"/>
        <w:rPr>
          <w:rFonts w:asciiTheme="minorEastAsia" w:hAnsiTheme="minorEastAsia"/>
          <w:b/>
          <w:szCs w:val="21"/>
        </w:rPr>
      </w:pPr>
      <w:r>
        <w:rPr>
          <w:rFonts w:asciiTheme="minorEastAsia" w:hAnsiTheme="minorEastAsia" w:hint="eastAsia"/>
          <w:szCs w:val="21"/>
        </w:rPr>
        <w:t>日期：</w:t>
      </w:r>
      <w:r>
        <w:rPr>
          <w:rFonts w:asciiTheme="minorEastAsia" w:hAnsiTheme="minorEastAsia"/>
          <w:szCs w:val="21"/>
        </w:rPr>
        <w:t xml:space="preserve">   年     月    日    </w:t>
      </w:r>
      <w:r>
        <w:rPr>
          <w:rFonts w:asciiTheme="minorEastAsia" w:hAnsiTheme="minorEastAsia" w:hint="eastAsia"/>
          <w:szCs w:val="21"/>
        </w:rPr>
        <w:t xml:space="preserve">              </w:t>
      </w:r>
      <w:r>
        <w:rPr>
          <w:rFonts w:asciiTheme="minorEastAsia" w:hAnsiTheme="minorEastAsia"/>
          <w:szCs w:val="21"/>
        </w:rPr>
        <w:t xml:space="preserve">  日期：   年     月    日</w:t>
      </w:r>
    </w:p>
    <w:p>
      <w:pPr>
        <w:ind w:firstLine="420" w:firstLineChars="200"/>
        <w:rPr>
          <w:rFonts w:ascii="宋体" w:hAnsi="宋体"/>
          <w:szCs w:val="21"/>
        </w:rPr>
      </w:pPr>
    </w:p>
    <w:p>
      <w:pPr>
        <w:ind w:firstLine="420" w:firstLineChars="200"/>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keepNext/>
        <w:keepLines/>
        <w:spacing w:before="260" w:after="260"/>
        <w:jc w:val="center"/>
        <w:outlineLvl w:val="2"/>
        <w:rPr>
          <w:rFonts w:ascii="宋体" w:hAnsi="宋体"/>
          <w:szCs w:val="21"/>
        </w:rPr>
      </w:pPr>
    </w:p>
    <w:p>
      <w:pPr>
        <w:widowControl/>
        <w:jc w:val="left"/>
        <w:rPr>
          <w:rFonts w:ascii="宋体" w:hAnsi="宋体"/>
          <w:b/>
          <w:szCs w:val="21"/>
        </w:rPr>
      </w:pPr>
      <w:r>
        <w:rPr>
          <w:bCs/>
          <w:szCs w:val="21"/>
        </w:rPr>
        <w:br w:type="page"/>
      </w:r>
    </w:p>
    <w:p>
      <w:pPr>
        <w:pStyle w:val="Heading3"/>
        <w:spacing w:before="0"/>
        <w:jc w:val="center"/>
        <w:rPr>
          <w:rFonts w:ascii="黑体" w:eastAsia="黑体"/>
          <w:b w:val="0"/>
          <w:sz w:val="24"/>
          <w:szCs w:val="24"/>
        </w:rPr>
      </w:pPr>
      <w:r>
        <w:rPr>
          <w:rFonts w:ascii="黑体" w:eastAsia="黑体" w:hint="eastAsia"/>
          <w:b w:val="0"/>
          <w:sz w:val="24"/>
          <w:szCs w:val="24"/>
        </w:rPr>
        <w:t>二、政府采购履约情况反馈表</w:t>
      </w:r>
    </w:p>
    <w:p>
      <w:pPr>
        <w:spacing w:line="240" w:lineRule="atLeast"/>
        <w:rPr>
          <w:rFonts w:ascii="宋体" w:hAnsi="宋体"/>
          <w:b/>
          <w:szCs w:val="21"/>
        </w:rPr>
      </w:pPr>
      <w:r>
        <w:rPr>
          <w:rFonts w:ascii="宋体" w:hAnsi="宋体" w:hint="eastAsia"/>
          <w:b/>
          <w:szCs w:val="21"/>
        </w:rPr>
        <w:t>采购人名称：                       联系人及电话：</w:t>
      </w:r>
    </w:p>
    <w:p>
      <w:pPr>
        <w:spacing w:line="60" w:lineRule="exact"/>
        <w:rPr>
          <w:rFonts w:ascii="宋体" w:hAnsi="宋体"/>
          <w:b/>
          <w:szCs w:val="21"/>
        </w:rPr>
      </w:pPr>
    </w:p>
    <w:tbl>
      <w:tblPr>
        <w:tblStyle w:val="TableNormal"/>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842"/>
        <w:gridCol w:w="720"/>
        <w:gridCol w:w="720"/>
        <w:gridCol w:w="2520"/>
        <w:gridCol w:w="1980"/>
        <w:gridCol w:w="2135"/>
      </w:tblGrid>
      <w:tr>
        <w:tblPrEx>
          <w:tblW w:w="89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Ex>
        <w:trPr>
          <w:trHeight w:val="450"/>
          <w:jc w:val="center"/>
        </w:trPr>
        <w:tc>
          <w:tcPr>
            <w:tcW w:w="2282" w:type="dxa"/>
            <w:gridSpan w:val="3"/>
            <w:vAlign w:val="center"/>
          </w:tcPr>
          <w:p>
            <w:pPr>
              <w:spacing w:line="240" w:lineRule="atLeast"/>
              <w:jc w:val="center"/>
              <w:rPr>
                <w:rFonts w:ascii="宋体" w:hAnsi="宋体"/>
                <w:szCs w:val="21"/>
              </w:rPr>
            </w:pPr>
            <w:r>
              <w:rPr>
                <w:rFonts w:ascii="宋体" w:hAnsi="宋体" w:hint="eastAsia"/>
                <w:szCs w:val="21"/>
              </w:rPr>
              <w:t>采购项目名称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项目编号</w:t>
            </w:r>
          </w:p>
        </w:tc>
        <w:tc>
          <w:tcPr>
            <w:tcW w:w="2135" w:type="dxa"/>
            <w:vAlign w:val="center"/>
          </w:tcPr>
          <w:p>
            <w:pPr>
              <w:spacing w:line="240" w:lineRule="atLeast"/>
              <w:jc w:val="center"/>
              <w:rPr>
                <w:rFonts w:ascii="宋体" w:hAnsi="宋体"/>
                <w:szCs w:val="21"/>
              </w:rPr>
            </w:pPr>
          </w:p>
        </w:tc>
      </w:tr>
      <w:tr>
        <w:tblPrEx>
          <w:tblW w:w="8917" w:type="dxa"/>
          <w:jc w:val="center"/>
          <w:tblLayout w:type="fixed"/>
          <w:tblCellMar>
            <w:top w:w="0" w:type="dxa"/>
            <w:left w:w="108" w:type="dxa"/>
            <w:bottom w:w="0" w:type="dxa"/>
            <w:right w:w="108" w:type="dxa"/>
          </w:tblCellMar>
        </w:tblPrEx>
        <w:trPr>
          <w:trHeight w:val="461"/>
          <w:jc w:val="center"/>
        </w:trPr>
        <w:tc>
          <w:tcPr>
            <w:tcW w:w="2282" w:type="dxa"/>
            <w:gridSpan w:val="3"/>
            <w:vAlign w:val="center"/>
          </w:tcPr>
          <w:p>
            <w:pPr>
              <w:spacing w:line="240" w:lineRule="atLeast"/>
              <w:jc w:val="center"/>
              <w:rPr>
                <w:rFonts w:ascii="宋体" w:hAnsi="宋体"/>
                <w:szCs w:val="21"/>
              </w:rPr>
            </w:pPr>
            <w:r>
              <w:rPr>
                <w:rFonts w:ascii="宋体" w:hAnsi="宋体" w:hint="eastAsia"/>
                <w:szCs w:val="21"/>
              </w:rPr>
              <w:t>中标供应商名称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供应商</w:t>
            </w:r>
          </w:p>
          <w:p>
            <w:pPr>
              <w:spacing w:line="240" w:lineRule="atLeast"/>
              <w:jc w:val="center"/>
              <w:rPr>
                <w:rFonts w:ascii="宋体" w:hAnsi="宋体"/>
                <w:szCs w:val="21"/>
              </w:rPr>
            </w:pPr>
            <w:r>
              <w:rPr>
                <w:rFonts w:ascii="宋体" w:hAnsi="宋体" w:hint="eastAsia"/>
                <w:szCs w:val="21"/>
              </w:rPr>
              <w:t>联系人及电话</w:t>
            </w:r>
          </w:p>
        </w:tc>
        <w:tc>
          <w:tcPr>
            <w:tcW w:w="2135" w:type="dxa"/>
            <w:vAlign w:val="center"/>
          </w:tcPr>
          <w:p>
            <w:pPr>
              <w:spacing w:line="240" w:lineRule="atLeast"/>
              <w:jc w:val="center"/>
              <w:rPr>
                <w:rFonts w:ascii="宋体" w:hAnsi="宋体"/>
                <w:szCs w:val="21"/>
              </w:rPr>
            </w:pPr>
          </w:p>
        </w:tc>
      </w:tr>
      <w:tr>
        <w:tblPrEx>
          <w:tblW w:w="8917" w:type="dxa"/>
          <w:jc w:val="center"/>
          <w:tblLayout w:type="fixed"/>
          <w:tblCellMar>
            <w:top w:w="0" w:type="dxa"/>
            <w:left w:w="108" w:type="dxa"/>
            <w:bottom w:w="0" w:type="dxa"/>
            <w:right w:w="108" w:type="dxa"/>
          </w:tblCellMar>
        </w:tblPrEx>
        <w:trPr>
          <w:trHeight w:val="438"/>
          <w:jc w:val="center"/>
        </w:trPr>
        <w:tc>
          <w:tcPr>
            <w:tcW w:w="2282" w:type="dxa"/>
            <w:gridSpan w:val="3"/>
            <w:vAlign w:val="center"/>
          </w:tcPr>
          <w:p>
            <w:pPr>
              <w:spacing w:line="240" w:lineRule="atLeast"/>
              <w:jc w:val="center"/>
              <w:rPr>
                <w:rFonts w:ascii="宋体" w:hAnsi="宋体"/>
                <w:szCs w:val="21"/>
              </w:rPr>
            </w:pPr>
            <w:r>
              <w:rPr>
                <w:rFonts w:ascii="宋体" w:hAnsi="宋体" w:hint="eastAsia"/>
                <w:szCs w:val="21"/>
              </w:rPr>
              <w:t>中标金额</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ascii="宋体" w:hAnsi="宋体" w:hint="eastAsia"/>
                <w:szCs w:val="21"/>
              </w:rPr>
              <w:t>合同履约时间</w:t>
            </w:r>
          </w:p>
        </w:tc>
        <w:tc>
          <w:tcPr>
            <w:tcW w:w="2135" w:type="dxa"/>
            <w:vAlign w:val="center"/>
          </w:tcPr>
          <w:p>
            <w:pPr>
              <w:spacing w:line="240" w:lineRule="atLeast"/>
              <w:rPr>
                <w:rFonts w:ascii="宋体" w:hAnsi="宋体"/>
                <w:szCs w:val="21"/>
              </w:rPr>
            </w:pPr>
            <w:r>
              <w:rPr>
                <w:rFonts w:ascii="宋体" w:hAnsi="宋体" w:hint="eastAsia"/>
                <w:szCs w:val="21"/>
              </w:rPr>
              <w:t>自       至</w:t>
            </w:r>
          </w:p>
        </w:tc>
      </w:tr>
      <w:tr>
        <w:tblPrEx>
          <w:tblW w:w="8917" w:type="dxa"/>
          <w:jc w:val="center"/>
          <w:tblLayout w:type="fixed"/>
          <w:tblCellMar>
            <w:top w:w="0" w:type="dxa"/>
            <w:left w:w="108" w:type="dxa"/>
            <w:bottom w:w="0" w:type="dxa"/>
            <w:right w:w="108" w:type="dxa"/>
          </w:tblCellMar>
        </w:tblPrEx>
        <w:trPr>
          <w:trHeight w:val="544"/>
          <w:jc w:val="center"/>
        </w:trPr>
        <w:tc>
          <w:tcPr>
            <w:tcW w:w="842" w:type="dxa"/>
            <w:vMerge w:val="restart"/>
            <w:vAlign w:val="center"/>
          </w:tcPr>
          <w:p>
            <w:pPr>
              <w:spacing w:line="240" w:lineRule="atLeast"/>
              <w:jc w:val="center"/>
              <w:rPr>
                <w:rFonts w:ascii="宋体" w:hAnsi="宋体"/>
                <w:b/>
                <w:szCs w:val="21"/>
              </w:rPr>
            </w:pPr>
            <w:r>
              <w:rPr>
                <w:rFonts w:ascii="宋体" w:hAnsi="宋体" w:hint="eastAsia"/>
                <w:b/>
                <w:szCs w:val="21"/>
              </w:rPr>
              <w:t>履约情况评价</w:t>
            </w:r>
          </w:p>
        </w:tc>
        <w:tc>
          <w:tcPr>
            <w:tcW w:w="1440" w:type="dxa"/>
            <w:gridSpan w:val="2"/>
            <w:tcBorders>
              <w:right w:val="single" w:sz="4" w:space="0" w:color="auto"/>
            </w:tcBorders>
            <w:vAlign w:val="center"/>
          </w:tcPr>
          <w:p>
            <w:pPr>
              <w:spacing w:line="240" w:lineRule="atLeast"/>
              <w:jc w:val="center"/>
              <w:rPr>
                <w:rFonts w:ascii="宋体" w:hAnsi="宋体"/>
                <w:szCs w:val="21"/>
              </w:rPr>
            </w:pPr>
            <w:r>
              <w:rPr>
                <w:rFonts w:ascii="宋体" w:hAnsi="宋体" w:hint="eastAsia"/>
                <w:szCs w:val="21"/>
              </w:rPr>
              <w:t>总体评价</w:t>
            </w:r>
          </w:p>
        </w:tc>
        <w:tc>
          <w:tcPr>
            <w:tcW w:w="6635" w:type="dxa"/>
            <w:gridSpan w:val="3"/>
            <w:tcBorders>
              <w:left w:val="single" w:sz="4" w:space="0" w:color="auto"/>
            </w:tcBorders>
            <w:vAlign w:val="center"/>
          </w:tcPr>
          <w:p>
            <w:pPr>
              <w:spacing w:line="240" w:lineRule="atLeast"/>
              <w:ind w:firstLine="105" w:firstLineChars="50"/>
              <w:jc w:val="center"/>
              <w:rPr>
                <w:rFonts w:ascii="宋体" w:hAnsi="宋体"/>
                <w:szCs w:val="21"/>
              </w:rPr>
            </w:pPr>
            <w:r>
              <w:rPr>
                <w:rFonts w:ascii="宋体" w:hAnsi="宋体" w:hint="eastAsia"/>
                <w:szCs w:val="21"/>
              </w:rPr>
              <w:t>□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val="restart"/>
            <w:tcBorders>
              <w:right w:val="single" w:sz="4" w:space="0" w:color="auto"/>
            </w:tcBorders>
            <w:vAlign w:val="center"/>
          </w:tcPr>
          <w:p>
            <w:pPr>
              <w:spacing w:line="240" w:lineRule="atLeast"/>
              <w:jc w:val="center"/>
              <w:rPr>
                <w:rFonts w:ascii="宋体" w:hAnsi="宋体"/>
                <w:szCs w:val="21"/>
              </w:rPr>
            </w:pPr>
            <w:r>
              <w:rPr>
                <w:rFonts w:ascii="宋体" w:hAnsi="宋体" w:hint="eastAsia"/>
                <w:szCs w:val="21"/>
              </w:rPr>
              <w:t>分项评价</w:t>
            </w: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质量方面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价格方面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服务方面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时间方面</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环境保护</w:t>
            </w:r>
          </w:p>
        </w:tc>
        <w:tc>
          <w:tcPr>
            <w:tcW w:w="6635" w:type="dxa"/>
            <w:gridSpan w:val="3"/>
            <w:tcBorders>
              <w:left w:val="single" w:sz="4" w:space="0" w:color="auto"/>
            </w:tcBorders>
            <w:vAlign w:val="center"/>
          </w:tcPr>
          <w:p>
            <w:pPr>
              <w:spacing w:line="240" w:lineRule="atLeast"/>
              <w:jc w:val="center"/>
              <w:rPr>
                <w:rFonts w:ascii="宋体" w:hAnsi="宋体"/>
                <w:szCs w:val="21"/>
              </w:rPr>
            </w:pPr>
            <w:r>
              <w:rPr>
                <w:rFonts w:ascii="宋体" w:hAnsi="宋体" w:hint="eastAsia"/>
                <w:szCs w:val="21"/>
              </w:rPr>
              <w:t xml:space="preserve"> □ 优          □ 良          □ 中           □ 差</w:t>
            </w:r>
          </w:p>
        </w:tc>
      </w:tr>
      <w:tr>
        <w:tblPrEx>
          <w:tblW w:w="8917" w:type="dxa"/>
          <w:jc w:val="center"/>
          <w:tblLayout w:type="fixed"/>
          <w:tblCellMar>
            <w:top w:w="0" w:type="dxa"/>
            <w:left w:w="108" w:type="dxa"/>
            <w:bottom w:w="0" w:type="dxa"/>
            <w:right w:w="108" w:type="dxa"/>
          </w:tblCellMar>
        </w:tblPrEx>
        <w:trPr>
          <w:trHeight w:val="458"/>
          <w:jc w:val="center"/>
        </w:trPr>
        <w:tc>
          <w:tcPr>
            <w:tcW w:w="842" w:type="dxa"/>
            <w:vMerge/>
            <w:vAlign w:val="center"/>
          </w:tcPr>
          <w:p>
            <w:pPr>
              <w:spacing w:line="240" w:lineRule="atLeast"/>
              <w:jc w:val="center"/>
              <w:rPr>
                <w:rFonts w:ascii="宋体" w:hAnsi="宋体"/>
                <w:szCs w:val="21"/>
              </w:rPr>
            </w:pPr>
          </w:p>
        </w:tc>
        <w:tc>
          <w:tcPr>
            <w:tcW w:w="720" w:type="dxa"/>
            <w:vMerge/>
            <w:tcBorders>
              <w:right w:val="single" w:sz="4" w:space="0" w:color="auto"/>
            </w:tcBorders>
            <w:vAlign w:val="center"/>
          </w:tcPr>
          <w:p>
            <w:pPr>
              <w:spacing w:line="240" w:lineRule="atLeast"/>
              <w:jc w:val="center"/>
              <w:rPr>
                <w:rFonts w:ascii="宋体" w:hAnsi="宋体"/>
                <w:szCs w:val="21"/>
              </w:rPr>
            </w:pPr>
          </w:p>
        </w:tc>
        <w:tc>
          <w:tcPr>
            <w:tcW w:w="720" w:type="dxa"/>
            <w:tcBorders>
              <w:left w:val="single" w:sz="4" w:space="0" w:color="auto"/>
              <w:right w:val="single" w:sz="4" w:space="0" w:color="auto"/>
            </w:tcBorders>
            <w:vAlign w:val="center"/>
          </w:tcPr>
          <w:p>
            <w:pPr>
              <w:spacing w:line="240" w:lineRule="atLeast"/>
              <w:jc w:val="center"/>
              <w:rPr>
                <w:rFonts w:ascii="宋体" w:hAnsi="宋体"/>
                <w:szCs w:val="21"/>
              </w:rPr>
            </w:pPr>
            <w:r>
              <w:rPr>
                <w:rFonts w:ascii="宋体" w:hAnsi="宋体" w:hint="eastAsia"/>
                <w:szCs w:val="21"/>
              </w:rPr>
              <w:t>其他</w:t>
            </w:r>
          </w:p>
        </w:tc>
        <w:tc>
          <w:tcPr>
            <w:tcW w:w="6635" w:type="dxa"/>
            <w:gridSpan w:val="3"/>
            <w:tcBorders>
              <w:left w:val="single" w:sz="4" w:space="0" w:color="auto"/>
            </w:tcBorders>
            <w:vAlign w:val="center"/>
          </w:tcPr>
          <w:p>
            <w:pPr>
              <w:spacing w:before="156" w:beforeLines="50" w:after="156" w:afterLines="50" w:line="240" w:lineRule="atLeast"/>
              <w:rPr>
                <w:rFonts w:ascii="宋体" w:hAnsi="宋体"/>
                <w:szCs w:val="21"/>
                <w:u w:val="single"/>
              </w:rPr>
            </w:pPr>
            <w:r>
              <w:rPr>
                <w:rFonts w:ascii="宋体" w:hAnsi="宋体" w:hint="eastAsia"/>
                <w:szCs w:val="21"/>
              </w:rPr>
              <w:t>评价内容为：</w:t>
            </w:r>
            <w:r>
              <w:rPr>
                <w:rFonts w:ascii="宋体" w:hAnsi="宋体" w:hint="eastAsia"/>
                <w:szCs w:val="21"/>
                <w:u w:val="single"/>
              </w:rPr>
              <w:t xml:space="preserve">                    </w:t>
            </w:r>
          </w:p>
          <w:p>
            <w:pPr>
              <w:spacing w:before="156" w:beforeLines="50" w:after="156" w:afterLines="50" w:line="240" w:lineRule="atLeast"/>
              <w:rPr>
                <w:rFonts w:ascii="宋体" w:hAnsi="宋体"/>
                <w:szCs w:val="21"/>
              </w:rPr>
            </w:pPr>
            <w:r>
              <w:rPr>
                <w:rFonts w:ascii="宋体" w:hAnsi="宋体" w:hint="eastAsia"/>
                <w:szCs w:val="21"/>
              </w:rPr>
              <w:t>评价等级为：  □ 优       □ 良        □ 中         □ 差</w:t>
            </w:r>
          </w:p>
        </w:tc>
      </w:tr>
      <w:tr>
        <w:tblPrEx>
          <w:tblW w:w="8917" w:type="dxa"/>
          <w:jc w:val="center"/>
          <w:tblLayout w:type="fixed"/>
          <w:tblCellMar>
            <w:top w:w="0" w:type="dxa"/>
            <w:left w:w="108" w:type="dxa"/>
            <w:bottom w:w="0" w:type="dxa"/>
            <w:right w:w="108" w:type="dxa"/>
          </w:tblCellMar>
        </w:tblPrEx>
        <w:trPr>
          <w:trHeight w:val="3261"/>
          <w:jc w:val="center"/>
        </w:trPr>
        <w:tc>
          <w:tcPr>
            <w:tcW w:w="1562" w:type="dxa"/>
            <w:gridSpan w:val="2"/>
            <w:vAlign w:val="center"/>
          </w:tcPr>
          <w:p>
            <w:pPr>
              <w:spacing w:line="240" w:lineRule="atLeast"/>
              <w:jc w:val="center"/>
              <w:rPr>
                <w:rFonts w:ascii="宋体" w:hAnsi="宋体"/>
                <w:szCs w:val="21"/>
              </w:rPr>
            </w:pPr>
            <w:r>
              <w:rPr>
                <w:rFonts w:ascii="宋体" w:hAnsi="宋体" w:hint="eastAsia"/>
                <w:szCs w:val="21"/>
              </w:rPr>
              <w:t>具体情况说明</w:t>
            </w:r>
          </w:p>
        </w:tc>
        <w:tc>
          <w:tcPr>
            <w:tcW w:w="7355" w:type="dxa"/>
            <w:gridSpan w:val="4"/>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tc>
      </w:tr>
      <w:tr>
        <w:tblPrEx>
          <w:tblW w:w="8917" w:type="dxa"/>
          <w:jc w:val="center"/>
          <w:tblLayout w:type="fixed"/>
          <w:tblCellMar>
            <w:top w:w="0" w:type="dxa"/>
            <w:left w:w="108" w:type="dxa"/>
            <w:bottom w:w="0" w:type="dxa"/>
            <w:right w:w="108" w:type="dxa"/>
          </w:tblCellMar>
        </w:tblPrEx>
        <w:trPr>
          <w:trHeight w:val="1809"/>
          <w:jc w:val="center"/>
        </w:trPr>
        <w:tc>
          <w:tcPr>
            <w:tcW w:w="1562" w:type="dxa"/>
            <w:gridSpan w:val="2"/>
            <w:vAlign w:val="center"/>
          </w:tcPr>
          <w:p>
            <w:pPr>
              <w:spacing w:line="240" w:lineRule="atLeast"/>
              <w:jc w:val="center"/>
              <w:rPr>
                <w:rFonts w:ascii="宋体" w:hAnsi="宋体"/>
                <w:szCs w:val="21"/>
              </w:rPr>
            </w:pPr>
            <w:r>
              <w:rPr>
                <w:rFonts w:ascii="宋体" w:hAnsi="宋体" w:hint="eastAsia"/>
                <w:szCs w:val="21"/>
              </w:rPr>
              <w:t>采购人意见</w:t>
            </w:r>
          </w:p>
          <w:p>
            <w:pPr>
              <w:spacing w:line="240" w:lineRule="atLeast"/>
              <w:jc w:val="center"/>
              <w:rPr>
                <w:rFonts w:ascii="宋体" w:hAnsi="宋体"/>
                <w:szCs w:val="21"/>
              </w:rPr>
            </w:pPr>
            <w:r>
              <w:rPr>
                <w:rFonts w:ascii="宋体" w:hAnsi="宋体" w:hint="eastAsia"/>
                <w:szCs w:val="21"/>
              </w:rPr>
              <w:t>（公章）</w:t>
            </w:r>
          </w:p>
        </w:tc>
        <w:tc>
          <w:tcPr>
            <w:tcW w:w="7355" w:type="dxa"/>
            <w:gridSpan w:val="4"/>
            <w:vAlign w:val="center"/>
          </w:tcPr>
          <w:p>
            <w:pPr>
              <w:spacing w:line="240" w:lineRule="atLeast"/>
              <w:rPr>
                <w:rFonts w:ascii="宋体" w:hAnsi="宋体"/>
                <w:szCs w:val="21"/>
              </w:rPr>
            </w:pPr>
          </w:p>
          <w:p>
            <w:pPr>
              <w:spacing w:line="240" w:lineRule="atLeast"/>
              <w:rPr>
                <w:rFonts w:ascii="宋体" w:hAnsi="宋体"/>
                <w:szCs w:val="21"/>
              </w:rPr>
            </w:pPr>
            <w:r>
              <w:rPr>
                <w:rFonts w:ascii="宋体" w:hAnsi="宋体" w:hint="eastAsia"/>
                <w:szCs w:val="21"/>
              </w:rPr>
              <w:t xml:space="preserve">                                        </w:t>
            </w:r>
          </w:p>
          <w:p>
            <w:pPr>
              <w:spacing w:line="240" w:lineRule="atLeast"/>
              <w:ind w:firstLine="3780" w:firstLineChars="1800"/>
              <w:rPr>
                <w:rFonts w:ascii="宋体" w:hAnsi="宋体"/>
                <w:szCs w:val="21"/>
              </w:rPr>
            </w:pPr>
          </w:p>
          <w:p>
            <w:pPr>
              <w:spacing w:line="240" w:lineRule="atLeast"/>
              <w:ind w:firstLine="3780" w:firstLineChars="1800"/>
              <w:rPr>
                <w:rFonts w:ascii="宋体" w:hAnsi="宋体"/>
                <w:szCs w:val="21"/>
              </w:rPr>
            </w:pPr>
            <w:r>
              <w:rPr>
                <w:rFonts w:ascii="宋体" w:hAnsi="宋体" w:hint="eastAsia"/>
                <w:szCs w:val="21"/>
              </w:rPr>
              <w:t>日期：   年   月   日</w:t>
            </w:r>
          </w:p>
        </w:tc>
      </w:tr>
    </w:tbl>
    <w:p>
      <w:pPr>
        <w:spacing w:line="240" w:lineRule="atLeast"/>
        <w:rPr>
          <w:rFonts w:ascii="宋体" w:hAnsi="宋体"/>
          <w:szCs w:val="21"/>
        </w:rPr>
      </w:pPr>
      <w:r>
        <w:rPr>
          <w:rFonts w:ascii="宋体" w:hAnsi="宋体" w:hint="eastAsia"/>
          <w:szCs w:val="21"/>
        </w:rPr>
        <w:t>说明：</w:t>
      </w:r>
    </w:p>
    <w:p>
      <w:pPr>
        <w:spacing w:line="240" w:lineRule="atLeast"/>
        <w:rPr>
          <w:rFonts w:ascii="宋体" w:hAnsi="宋体"/>
          <w:szCs w:val="21"/>
        </w:rPr>
      </w:pPr>
      <w:r>
        <w:rPr>
          <w:rFonts w:ascii="宋体" w:hAnsi="宋体" w:hint="eastAsia"/>
          <w:szCs w:val="21"/>
        </w:rPr>
        <w:t>履约情况评价分为优、良、中、差四个等级，请在对应的框前打“√”，然后在“具体情况说明”一栏详细说明有关情况。</w:t>
      </w:r>
      <w:r>
        <w:rPr>
          <w:rFonts w:ascii="宋体" w:hAnsi="宋体"/>
          <w:szCs w:val="21"/>
        </w:rPr>
        <w:tab/>
      </w:r>
      <w:r>
        <w:rPr>
          <w:rFonts w:ascii="宋体" w:hAnsi="宋体"/>
          <w:szCs w:val="21"/>
        </w:rPr>
        <w:tab/>
      </w:r>
    </w:p>
    <w:p>
      <w:pPr>
        <w:spacing w:line="240" w:lineRule="atLeast"/>
        <w:rPr>
          <w:rFonts w:ascii="宋体" w:hAnsi="宋体"/>
          <w:szCs w:val="21"/>
        </w:rPr>
        <w:sectPr>
          <w:footerReference w:type="default" r:id="rId7"/>
          <w:pgSz w:w="11906" w:h="16838"/>
          <w:pgMar w:top="1440" w:right="1417" w:bottom="1440" w:left="1417" w:header="851" w:footer="992" w:gutter="0"/>
          <w:cols w:num="1" w:space="720"/>
          <w:titlePg/>
          <w:docGrid w:type="lines" w:linePitch="312" w:charSpace="0"/>
        </w:sectPr>
      </w:pPr>
    </w:p>
    <w:p>
      <w:pPr>
        <w:jc w:val="center"/>
        <w:rPr>
          <w:rFonts w:ascii="宋体" w:hAnsi="宋体"/>
          <w:b/>
          <w:bCs/>
          <w:kern w:val="0"/>
          <w:sz w:val="24"/>
          <w:szCs w:val="20"/>
        </w:rPr>
      </w:pPr>
      <w:r>
        <w:rPr>
          <w:rFonts w:ascii="宋体" w:hAnsi="宋体" w:hint="eastAsia"/>
          <w:b/>
          <w:bCs/>
          <w:kern w:val="0"/>
          <w:sz w:val="24"/>
          <w:szCs w:val="20"/>
        </w:rPr>
        <w:t>第五章  附件</w:t>
      </w:r>
    </w:p>
    <w:p>
      <w:pPr>
        <w:jc w:val="center"/>
        <w:rPr>
          <w:rFonts w:ascii="宋体" w:hAnsi="宋体"/>
          <w:b/>
          <w:bCs/>
          <w:kern w:val="0"/>
          <w:sz w:val="24"/>
          <w:szCs w:val="20"/>
        </w:rPr>
      </w:pPr>
    </w:p>
    <w:p>
      <w:pPr>
        <w:pStyle w:val="Heading3"/>
        <w:spacing w:before="0" w:after="0"/>
        <w:jc w:val="center"/>
      </w:pPr>
      <w:bookmarkStart w:id="19" w:name="_Toc73613644"/>
      <w:bookmarkStart w:id="20" w:name="_Toc73610162"/>
      <w:r>
        <w:rPr>
          <w:rFonts w:hint="eastAsia"/>
        </w:rPr>
        <w:t>一、财政部 工业和信息化部关于印发《政府采购促进中小企业发展管理办法》的通知</w:t>
      </w:r>
      <w:bookmarkEnd w:id="19"/>
      <w:bookmarkEnd w:id="20"/>
    </w:p>
    <w:p>
      <w:pPr>
        <w:pStyle w:val="NormalWeb"/>
        <w:shd w:val="clear" w:color="auto" w:fill="FFFFFF"/>
        <w:spacing w:line="360" w:lineRule="auto"/>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财库〔2020〕46号</w:t>
      </w:r>
    </w:p>
    <w:p>
      <w:pPr>
        <w:pStyle w:val="NormalWeb"/>
        <w:shd w:val="clear" w:color="auto" w:fill="FFFFFF"/>
        <w:spacing w:before="0" w:beforeAutospacing="0" w:after="0" w:afterAutospacing="0" w:line="360" w:lineRule="auto"/>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各中央预算单位办公厅（室），各省、自治区、直辖市、计划单列市财政厅（局）、工业和信息化主管部门，新疆生产建设兵团财政局、工业和信息化主管部门：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附件：政府采购促进中小企业发展管理办法</w:t>
      </w:r>
    </w:p>
    <w:p>
      <w:pPr>
        <w:pStyle w:val="NormalWeb"/>
        <w:shd w:val="clear" w:color="auto" w:fill="FFFFFF"/>
        <w:spacing w:before="0" w:beforeAutospacing="0" w:after="0" w:afterAutospacing="0" w:line="360" w:lineRule="auto"/>
        <w:jc w:val="righ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财　　政　　部</w:t>
      </w:r>
    </w:p>
    <w:p>
      <w:pPr>
        <w:pStyle w:val="NormalWeb"/>
        <w:shd w:val="clear" w:color="auto" w:fill="FFFFFF"/>
        <w:spacing w:before="0" w:beforeAutospacing="0" w:after="0" w:afterAutospacing="0" w:line="360" w:lineRule="auto"/>
        <w:jc w:val="righ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工业和信息化部</w:t>
      </w:r>
    </w:p>
    <w:p>
      <w:pPr>
        <w:pStyle w:val="NormalWeb"/>
        <w:shd w:val="clear" w:color="auto" w:fill="FFFFFF"/>
        <w:spacing w:before="0" w:beforeAutospacing="0" w:after="0" w:afterAutospacing="0" w:line="360" w:lineRule="auto"/>
        <w:jc w:val="right"/>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2020年12月18日</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p>
    <w:p>
      <w:pPr>
        <w:pStyle w:val="NormalWeb"/>
        <w:shd w:val="clear" w:color="auto" w:fill="FFFFFF"/>
        <w:spacing w:before="0" w:beforeAutospacing="0" w:after="0" w:afterAutospacing="0" w:line="360" w:lineRule="auto"/>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附件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p>
    <w:p>
      <w:pPr>
        <w:pStyle w:val="NormalWeb"/>
        <w:shd w:val="clear" w:color="auto" w:fill="FFFFFF"/>
        <w:spacing w:before="0" w:beforeAutospacing="0" w:after="0" w:afterAutospacing="0" w:line="360" w:lineRule="auto"/>
        <w:jc w:val="center"/>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政府采购促进中小企业发展管理办法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第一条</w:t>
      </w:r>
      <w:r>
        <w:rPr>
          <w:rFonts w:asciiTheme="minorEastAsia" w:eastAsiaTheme="minorEastAsia" w:hAnsiTheme="minorEastAsia" w:hint="eastAsia"/>
          <w:color w:val="333333"/>
          <w:sz w:val="21"/>
          <w:szCs w:val="21"/>
        </w:rPr>
        <w:t>　为了发挥政府采购的政策功能，促进中小企业健康发展，根据《中华人民共和国政府采购法》、《中华人民共和国中小企业促进法》等有关法律法规，制定本办法。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第二条</w:t>
      </w:r>
      <w:r>
        <w:rPr>
          <w:rFonts w:asciiTheme="minorEastAsia" w:eastAsiaTheme="minorEastAsia" w:hAnsiTheme="minorEastAsia" w:hint="eastAsia"/>
          <w:color w:val="333333"/>
          <w:sz w:val="21"/>
          <w:szCs w:val="21"/>
        </w:rPr>
        <w:t>　本办法所称中小企业，是指在中华人民共和国境内依法设立，依据国务院批准的中小企业划分标准确定的中型企业、小型企业和微型企业，但与大企业的负责人为同一人，或者与大企业存在直接控股、管理关系的除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符合中小企业划分标准的个体工商户，在政府采购活动中视同中小企业。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第三条</w:t>
      </w:r>
      <w:r>
        <w:rPr>
          <w:rFonts w:asciiTheme="minorEastAsia" w:eastAsiaTheme="minorEastAsia" w:hAnsiTheme="minorEastAsia" w:hint="eastAsia"/>
          <w:color w:val="333333"/>
          <w:sz w:val="21"/>
          <w:szCs w:val="21"/>
        </w:rPr>
        <w:t>　采购人在政府采购活动中应当通过加强采购需求管理，落实预留采购份额、价格评审优惠、优先采购等措施，提高中小企业在政府采购中的份额，支持中小企业发展。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第四条</w:t>
      </w:r>
      <w:r>
        <w:rPr>
          <w:rFonts w:asciiTheme="minorEastAsia" w:eastAsiaTheme="minorEastAsia" w:hAnsiTheme="minorEastAsia" w:hint="eastAsia"/>
          <w:color w:val="333333"/>
          <w:sz w:val="21"/>
          <w:szCs w:val="21"/>
        </w:rPr>
        <w:t>　在政府采购活动中，供应商提供的货物、工程或者服务符合下列情形的，享受本办法规定的中小企业扶持政策：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（一）在货物采购项目中，货物由中小企业制造，即货物由中小企业生产且使用该中小企业商号或者注册商标；</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（二）在工程采购项目中，工程由中小企业承建，即工程施工单位为中小企业；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（三）在服务采购项目中，服务由中小企业承接，即提供服务的人员为中小企业依照《中华人民共和国劳动合同法》订立劳动合同的从业人员。</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在货物采购项目中，供应商提供的货物既有中小企业制造货物，也有大型企业制造货物的，不享受本办法规定的中小企业扶持政策。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以联合体形式参加政府采购活动，联合体各方均为中小企业的，联合体视同中小企业。其中，联合体各方均为小微企业的，联合体视同小微企业。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第五条</w:t>
      </w:r>
      <w:r>
        <w:rPr>
          <w:rFonts w:asciiTheme="minorEastAsia" w:eastAsiaTheme="minorEastAsia" w:hAnsiTheme="minorEastAsia" w:hint="eastAsia"/>
          <w:color w:val="333333"/>
          <w:sz w:val="21"/>
          <w:szCs w:val="21"/>
        </w:rPr>
        <w:t>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第六条</w:t>
      </w:r>
      <w:r>
        <w:rPr>
          <w:rFonts w:asciiTheme="minorEastAsia" w:eastAsiaTheme="minorEastAsia" w:hAnsiTheme="minorEastAsia" w:hint="eastAsia"/>
          <w:color w:val="333333"/>
          <w:sz w:val="21"/>
          <w:szCs w:val="21"/>
        </w:rPr>
        <w:t>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符合下列情形之一的，可不专门面向中小企业预留采购份额：</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（一）法律法规和国家有关政策明确规定优先或者应当面向事业单位、社会组织等非企业主体采购的；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（二）因确需使用不可替代的专利、专有技术，基础设施限制，或者提供特定公共服务等原因，只能从中小企业之外的供应商处采购的；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（三）按照本办法规定预留采购份额无法确保充分供应、充分竞争，或者存在可能影响政府采购目标实现的情形；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（四）框架协议采购项目；</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（五）省级以上人民政府财政部门规定的其他情形。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除上述情形外，其他均为适宜由中小企业提供的情形。</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第七条</w:t>
      </w:r>
      <w:r>
        <w:rPr>
          <w:rFonts w:asciiTheme="minorEastAsia" w:eastAsiaTheme="minorEastAsia" w:hAnsiTheme="minorEastAsia" w:hint="eastAsia"/>
          <w:color w:val="333333"/>
          <w:sz w:val="21"/>
          <w:szCs w:val="21"/>
        </w:rPr>
        <w:t>　采购限额标准以上，200万元以下的货物和服务采购项目、400万元以下的工程采购项目，适宜由中小企业提供的，采购人应当专门面向中小企业采购。</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第八条</w:t>
      </w:r>
      <w:r>
        <w:rPr>
          <w:rFonts w:asciiTheme="minorEastAsia" w:eastAsiaTheme="minorEastAsia" w:hAnsiTheme="minorEastAsia" w:hint="eastAsia"/>
          <w:color w:val="333333"/>
          <w:sz w:val="21"/>
          <w:szCs w:val="21"/>
        </w:rPr>
        <w:t>　超过200万元的货物和服务采购项目、超过400万元的工程采购项目中适宜由中小企业提供的，预留该部分采购项目预算总额的30%以上专门面向中小企业采购，其中预留给小微企业的比例不低于60%。预留份额通过下列措施进行：</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（一）将采购项目整体或者设置采购包专门面向中小企业采购；</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（二）要求供应商以联合体形式参加采购活动，且联合体中中小企业承担的部分达到一定比例；</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（三）要求获得采购合同的供应商将采购项目中的一定比例分包给一家或者多家中小企业。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组成联合体或者接受分包合同的中小企业与联合体内其他企业、分包企业之间不得存在直接控股、管理关系。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第九条</w:t>
      </w:r>
      <w:r>
        <w:rPr>
          <w:rFonts w:asciiTheme="minorEastAsia" w:eastAsiaTheme="minorEastAsia" w:hAnsiTheme="minorEastAsia" w:hint="eastAsia"/>
          <w:color w:val="333333"/>
          <w:sz w:val="21"/>
          <w:szCs w:val="21"/>
        </w:rPr>
        <w:t>　对于经主管预算单位统筹后未预留份额专门面向中小企业采购的采购项目，以及预留份额项目中的非预留部分采购包，采购人、采购代理机构应当对符合本办法规定的小微企业报价给予6%—10%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2%-3%（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组成联合体或者接受分包的小微企业与联合体内其他企业、分包企业之间存在直接控股、管理关系的，不享受价格扣除优惠政策。</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第十条</w:t>
      </w:r>
      <w:r>
        <w:rPr>
          <w:rFonts w:asciiTheme="minorEastAsia" w:eastAsiaTheme="minorEastAsia" w:hAnsiTheme="minorEastAsia" w:hint="eastAsia"/>
          <w:color w:val="333333"/>
          <w:sz w:val="21"/>
          <w:szCs w:val="21"/>
        </w:rPr>
        <w:t>　采购人应当严格按照本办法规定和主管预算单位制定的预留采购份额具体方案开展采购活动。预留份额的采购项目或者采购包，通过发布公告方式邀请供应商后，符合资格条件的中小企业数量不足3家的，应当中止采购活动，视同未预留份额的采购项目或者采购包，按照本办法第九条有关规定重新组织采购活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第十一条</w:t>
      </w:r>
      <w:r>
        <w:rPr>
          <w:rFonts w:asciiTheme="minorEastAsia" w:eastAsiaTheme="minorEastAsia" w:hAnsiTheme="minorEastAsia" w:hint="eastAsia"/>
          <w:color w:val="333333"/>
          <w:sz w:val="21"/>
          <w:szCs w:val="21"/>
        </w:rPr>
        <w:t>　中小企业参加政府采购活动，应当出具本办法规定的《中小企业声明函》（附1），否则不得享受相关中小企业扶持政策。任何单位和个人不得要求供应商提供《中小企业声明函》之外的中小企业身份证明文件。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第十二条</w:t>
      </w:r>
      <w:r>
        <w:rPr>
          <w:rFonts w:asciiTheme="minorEastAsia" w:eastAsiaTheme="minorEastAsia" w:hAnsiTheme="minorEastAsia" w:hint="eastAsia"/>
          <w:color w:val="333333"/>
          <w:sz w:val="21"/>
          <w:szCs w:val="21"/>
        </w:rPr>
        <w:t>　采购项目涉及中小企业采购的，采购文件应当明确以下内容：</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（一）预留份额的采购项目或者采购包，明确该项目或相关采购包专门面向中小企业采购，以及相关标的及预算金额；</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（二）要求以联合体形式参加或者合同分包的，明确联合协议或者分包意向协议中中小企业合同金额应当达到的比例，并作为供应商资格条件；</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（三）非预留份额的采购项目或者采购包，明确有关价格扣除比例或者价格分加分比例；</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（四）规定依据本办法规定享受扶持政策获得政府采购合同的，小微企业不得将合同分包给大中型企业，中型企业不得将合同分包给大型企业；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（五）采购人认为具备相关条件的，明确对中小企业在资金支付期限、预付款比例等方面的优惠措施；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（六）明确采购标的对应的中小企业划分标准所属行业；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（七）法律法规和省级以上人民政府财政部门规定的其他事项。</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第十三条</w:t>
      </w:r>
      <w:r>
        <w:rPr>
          <w:rFonts w:asciiTheme="minorEastAsia" w:eastAsiaTheme="minorEastAsia" w:hAnsiTheme="minorEastAsia" w:hint="eastAsia"/>
          <w:color w:val="333333"/>
          <w:sz w:val="21"/>
          <w:szCs w:val="21"/>
        </w:rPr>
        <w:t>　中标、成交供应商享受本办法规定的中小企业扶持政策的，采购人、采购代理机构应当随中标、成交结果公开中标、成交供应商的《中小企业声明函》。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适用招标投标法的政府采购工程建设项目，应当在公示中标候选人时公开中标候选人的《中小企业声明函》。</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第十四条</w:t>
      </w:r>
      <w:r>
        <w:rPr>
          <w:rFonts w:asciiTheme="minorEastAsia" w:eastAsiaTheme="minorEastAsia" w:hAnsiTheme="minorEastAsia" w:hint="eastAsia"/>
          <w:color w:val="333333"/>
          <w:sz w:val="21"/>
          <w:szCs w:val="21"/>
        </w:rPr>
        <w:t>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第十五条</w:t>
      </w:r>
      <w:r>
        <w:rPr>
          <w:rFonts w:asciiTheme="minorEastAsia" w:eastAsiaTheme="minorEastAsia" w:hAnsiTheme="minorEastAsia" w:hint="eastAsia"/>
          <w:color w:val="333333"/>
          <w:sz w:val="21"/>
          <w:szCs w:val="21"/>
        </w:rPr>
        <w:t>　鼓励各地区、各部门在采购活动中允许中小企业引入信用担保手段，为中小企业在投标（响应）保证、履约保证等方面提供专业化服务。鼓励中小企业依法合规通过政府采购合同融资。</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第十六条</w:t>
      </w:r>
      <w:r>
        <w:rPr>
          <w:rFonts w:asciiTheme="minorEastAsia" w:eastAsiaTheme="minorEastAsia" w:hAnsiTheme="minorEastAsia" w:hint="eastAsia"/>
          <w:color w:val="333333"/>
          <w:sz w:val="21"/>
          <w:szCs w:val="21"/>
        </w:rPr>
        <w:t>　政府采购监督检查、投诉处理及政府采购行政处罚中对中小企业的认定，由货物制造商或者工程、服务供应商注册登记所在地的县级以上人民政府中小企业主管部门负责。</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中小企业主管部门应当在收到财政部门或者有关招标投标行政监督部门关于协助开展中小企业认定函后10个工作日内做出书面答复。</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第十七条</w:t>
      </w:r>
      <w:r>
        <w:rPr>
          <w:rFonts w:asciiTheme="minorEastAsia" w:eastAsiaTheme="minorEastAsia" w:hAnsiTheme="minorEastAsia" w:hint="eastAsia"/>
          <w:color w:val="333333"/>
          <w:sz w:val="21"/>
          <w:szCs w:val="21"/>
        </w:rPr>
        <w:t>　各地区、各部门应当对涉及中小企业采购的预算项目实施全过程绩效管理，合理设置绩效目标和指标，落实扶持中小企业有关政策要求，定期开展绩效监控和评价，强化绩效评价结果应用。</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第十八条</w:t>
      </w:r>
      <w:r>
        <w:rPr>
          <w:rFonts w:asciiTheme="minorEastAsia" w:eastAsiaTheme="minorEastAsia" w:hAnsiTheme="minorEastAsia" w:hint="eastAsia"/>
          <w:color w:val="333333"/>
          <w:sz w:val="21"/>
          <w:szCs w:val="21"/>
        </w:rPr>
        <w:t>　主管预算单位应当自2022年起向同级财政部门报告本部门上一年度面向中小企业预留份额和采购的具体情况，并在中国政府采购网公开预留项目执行情况（附2）。未达到本办法规定的预留份额比例的，应当作出说明。</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第十九条</w:t>
      </w:r>
      <w:r>
        <w:rPr>
          <w:rFonts w:asciiTheme="minorEastAsia" w:eastAsiaTheme="minorEastAsia" w:hAnsiTheme="minorEastAsia" w:hint="eastAsia"/>
          <w:color w:val="333333"/>
          <w:sz w:val="21"/>
          <w:szCs w:val="21"/>
        </w:rPr>
        <w:t>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第二十条</w:t>
      </w:r>
      <w:r>
        <w:rPr>
          <w:rFonts w:asciiTheme="minorEastAsia" w:eastAsiaTheme="minorEastAsia" w:hAnsiTheme="minorEastAsia" w:hint="eastAsia"/>
          <w:color w:val="333333"/>
          <w:sz w:val="21"/>
          <w:szCs w:val="21"/>
        </w:rPr>
        <w:t>　供应商按照本办法规定提供声明函内容不实的，属于提供虚假材料谋取中标、成交，依照《中华人民共和国政府采购法》等国家有关规定追究相应责任。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color w:val="333333"/>
          <w:sz w:val="21"/>
          <w:szCs w:val="21"/>
        </w:rPr>
        <w:t>适用招标投标法的政府采购工程建设项目，投标人按照本办法规定提供声明函内容不实的，属于弄虚作假骗取中标，依照《中华人民共和国招标投标法》等国家有关规定追究相应责任。</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第二十一条</w:t>
      </w:r>
      <w:r>
        <w:rPr>
          <w:rFonts w:asciiTheme="minorEastAsia" w:eastAsiaTheme="minorEastAsia" w:hAnsiTheme="minorEastAsia" w:hint="eastAsia"/>
          <w:color w:val="333333"/>
          <w:sz w:val="21"/>
          <w:szCs w:val="21"/>
        </w:rPr>
        <w:t>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第二十二条</w:t>
      </w:r>
      <w:r>
        <w:rPr>
          <w:rFonts w:asciiTheme="minorEastAsia" w:eastAsiaTheme="minorEastAsia" w:hAnsiTheme="minorEastAsia" w:hint="eastAsia"/>
          <w:color w:val="333333"/>
          <w:sz w:val="21"/>
          <w:szCs w:val="21"/>
        </w:rPr>
        <w:t>　对外援助项目、国家相关资格或者资质管理制度另有规定的项目，不适用本办法。</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第二十三条</w:t>
      </w:r>
      <w:r>
        <w:rPr>
          <w:rFonts w:asciiTheme="minorEastAsia" w:eastAsiaTheme="minorEastAsia" w:hAnsiTheme="minorEastAsia" w:hint="eastAsia"/>
          <w:color w:val="333333"/>
          <w:sz w:val="21"/>
          <w:szCs w:val="21"/>
        </w:rPr>
        <w:t>　关于视同中小企业的其他主体的政府采购扶持政策，由财政部会同有关部门另行规定。</w:t>
      </w:r>
    </w:p>
    <w:p>
      <w:pPr>
        <w:pStyle w:val="NormalWeb"/>
        <w:shd w:val="clear" w:color="auto" w:fill="FFFFFF"/>
        <w:spacing w:before="0" w:beforeAutospacing="0" w:after="0" w:afterAutospacing="0" w:line="360" w:lineRule="auto"/>
        <w:ind w:firstLine="480"/>
        <w:jc w:val="both"/>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第二十四条</w:t>
      </w:r>
      <w:r>
        <w:rPr>
          <w:rFonts w:asciiTheme="minorEastAsia" w:eastAsiaTheme="minorEastAsia" w:hAnsiTheme="minorEastAsia" w:hint="eastAsia"/>
          <w:color w:val="333333"/>
          <w:sz w:val="21"/>
          <w:szCs w:val="21"/>
        </w:rPr>
        <w:t>　省级财政部门可以会同中小企业主管部门根据本办法的规定制定具体实施办法。</w:t>
      </w:r>
    </w:p>
    <w:p>
      <w:pPr>
        <w:pStyle w:val="NormalWeb"/>
        <w:shd w:val="clear" w:color="auto" w:fill="FFFFFF"/>
        <w:spacing w:before="0" w:beforeAutospacing="0" w:after="0" w:afterAutospacing="0" w:line="360" w:lineRule="auto"/>
        <w:ind w:firstLine="480"/>
        <w:rPr>
          <w:rFonts w:asciiTheme="minorEastAsia" w:eastAsiaTheme="minorEastAsia" w:hAnsiTheme="minorEastAsia"/>
          <w:color w:val="333333"/>
          <w:sz w:val="21"/>
          <w:szCs w:val="21"/>
        </w:rPr>
      </w:pPr>
      <w:r>
        <w:rPr>
          <w:rFonts w:asciiTheme="minorEastAsia" w:eastAsiaTheme="minorEastAsia" w:hAnsiTheme="minorEastAsia" w:hint="eastAsia"/>
          <w:b/>
          <w:bCs/>
          <w:color w:val="333333"/>
          <w:sz w:val="21"/>
          <w:szCs w:val="21"/>
        </w:rPr>
        <w:t>第二十五条</w:t>
      </w:r>
      <w:r>
        <w:rPr>
          <w:rFonts w:asciiTheme="minorEastAsia" w:eastAsiaTheme="minorEastAsia" w:hAnsiTheme="minorEastAsia" w:hint="eastAsia"/>
          <w:color w:val="333333"/>
          <w:sz w:val="21"/>
          <w:szCs w:val="21"/>
        </w:rPr>
        <w:t>　本办法自2021年1月1日起施行。《财政部 工业和信息化部关于印发〈政府采购促进中小企业发展暂行办法〉的通知》（财库〔2011〕181号）同时废止。</w:t>
      </w:r>
    </w:p>
    <w:p>
      <w:pPr>
        <w:pStyle w:val="NormalWeb"/>
        <w:shd w:val="clear" w:color="auto" w:fill="FFFFFF"/>
        <w:spacing w:before="0" w:beforeAutospacing="0" w:after="0" w:afterAutospacing="0" w:line="360" w:lineRule="auto"/>
        <w:ind w:firstLine="480"/>
        <w:rPr>
          <w:rFonts w:asciiTheme="minorEastAsia" w:eastAsiaTheme="minorEastAsia" w:hAnsiTheme="minorEastAsia"/>
          <w:color w:val="333333"/>
          <w:sz w:val="21"/>
          <w:szCs w:val="21"/>
        </w:rPr>
      </w:pPr>
    </w:p>
    <w:p>
      <w:pPr>
        <w:spacing w:line="360" w:lineRule="auto"/>
        <w:rPr>
          <w:rFonts w:asciiTheme="minorEastAsia" w:eastAsiaTheme="minorEastAsia" w:hAnsiTheme="minorEastAsia"/>
          <w:szCs w:val="21"/>
        </w:rPr>
      </w:pPr>
    </w:p>
    <w:p>
      <w:pPr>
        <w:pStyle w:val="Heading3"/>
        <w:spacing w:before="0" w:after="0"/>
        <w:jc w:val="center"/>
      </w:pPr>
      <w:bookmarkStart w:id="21" w:name="_Toc73610163"/>
      <w:bookmarkStart w:id="22" w:name="_Toc73613645"/>
      <w:r>
        <w:rPr>
          <w:rFonts w:hint="eastAsia"/>
        </w:rPr>
        <w:t>二、关于印发中小企业划型标准规定的通知</w:t>
      </w:r>
      <w:bookmarkEnd w:id="21"/>
      <w:bookmarkEnd w:id="22"/>
    </w:p>
    <w:p>
      <w:pPr>
        <w:pStyle w:val="NormalWeb"/>
        <w:shd w:val="clear" w:color="auto" w:fill="FFFFFF"/>
        <w:spacing w:line="360" w:lineRule="auto"/>
        <w:jc w:val="cente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工信部联企业〔2011〕300号</w:t>
      </w:r>
    </w:p>
    <w:p>
      <w:pPr>
        <w:pStyle w:val="NormalWeb"/>
        <w:shd w:val="clear" w:color="auto" w:fill="FFFFFF"/>
        <w:spacing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各省、自治区、直辖市人民政府，国务院各部委、各直属机构及有关单位：</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pPr>
        <w:pStyle w:val="NormalWeb"/>
        <w:shd w:val="clear" w:color="auto" w:fill="FFFFFF"/>
        <w:spacing w:line="360" w:lineRule="auto"/>
        <w:jc w:val="right"/>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工业和信息化部　国家统计局</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国家发展和改革委员会　财政部</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二○一一年六月十八日</w:t>
      </w:r>
    </w:p>
    <w:p>
      <w:pPr>
        <w:pStyle w:val="NormalWeb"/>
        <w:shd w:val="clear" w:color="auto" w:fill="FFFFFF"/>
        <w:spacing w:line="360" w:lineRule="auto"/>
        <w:jc w:val="center"/>
        <w:rPr>
          <w:rFonts w:asciiTheme="minorEastAsia" w:eastAsiaTheme="minorEastAsia" w:hAnsiTheme="minorEastAsia"/>
          <w:color w:val="000000"/>
          <w:sz w:val="21"/>
          <w:szCs w:val="21"/>
        </w:rPr>
      </w:pPr>
      <w:r>
        <w:rPr>
          <w:rStyle w:val="Strong"/>
          <w:rFonts w:asciiTheme="minorEastAsia" w:eastAsiaTheme="minorEastAsia" w:hAnsiTheme="minorEastAsia" w:hint="eastAsia"/>
          <w:color w:val="000000"/>
          <w:sz w:val="21"/>
          <w:szCs w:val="21"/>
        </w:rPr>
        <w:t>中小企业划型标准规定</w:t>
      </w:r>
    </w:p>
    <w:p>
      <w:pPr>
        <w:pStyle w:val="NormalWeb"/>
        <w:shd w:val="clear" w:color="auto" w:fill="FFFFFF"/>
        <w:spacing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　　一、根据《中华人民共和国中小企业促进法》和《国务院关于进一步促进中小企业发展的若干意见》(国发〔2009〕36号)，制定本规定。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二、中小企业划分为中型、小型、微型三种类型，具体标准根据企业从业人员、营业收入、资产总额等指标，结合行业特点制定。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四、各行业划型标准为：</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（一）农、林、牧、渔业。营业收入20000万元以下的为中小微型企业。其中，营业收入500万元及以上的为中型企业，营业收入50万元及以上的为小型企业，营业收入50万元以下的为微型企业。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（十六）其他未列明行业。从业人员300人以下的为中小微型企业。其中，从业人员100人及以上的为中型企业；从业人员10人及以上的为小型企业；从业人员10人以下的为微型企业。</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五、企业类型的划分以统计部门的统计数据为依据。</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六、本规定适用于在中华人民共和国境内依法设立的各类所有制和各种组织形式的企业。个体工商户和本规定以外的行业，参照本规定进行划型。</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七、本规定的中型企业标准上限即为大型企业标准的下限，国家统计部门据此制定大中小微型企业的统计分类。国务院有关部门据此进行相关数据分析，不得制定与本规定不一致的企业划型标准。</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八、本规定由工业和信息化部、国家统计局会同有关部门根据《国民经济行业分类》修订情况和企业发展变化情况适时修订。</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九、本规定由工业和信息化部、国家统计局会同有关部门负责解释。</w:t>
      </w:r>
      <w:r>
        <w:rPr>
          <w:rFonts w:asciiTheme="minorEastAsia" w:eastAsiaTheme="minorEastAsia" w:hAnsiTheme="minorEastAsia" w:hint="eastAsia"/>
          <w:color w:val="000000"/>
          <w:sz w:val="21"/>
          <w:szCs w:val="21"/>
        </w:rPr>
        <w:br/>
      </w:r>
      <w:r>
        <w:rPr>
          <w:rFonts w:asciiTheme="minorEastAsia" w:eastAsiaTheme="minorEastAsia" w:hAnsiTheme="minorEastAsia" w:hint="eastAsia"/>
          <w:color w:val="000000"/>
          <w:sz w:val="21"/>
          <w:szCs w:val="21"/>
        </w:rPr>
        <w:t>　　十、本规定自发布之日起执行，原国家经贸委、原国家计委、财政部和国家统计局2003年颁布的《中小企业标准暂行规定》同时废止。</w:t>
      </w:r>
    </w:p>
    <w:p>
      <w:pPr>
        <w:pStyle w:val="NormalWeb"/>
        <w:shd w:val="clear" w:color="auto" w:fill="FFFFFF"/>
        <w:spacing w:line="360" w:lineRule="auto"/>
        <w:rPr>
          <w:rFonts w:asciiTheme="minorEastAsia" w:eastAsiaTheme="minorEastAsia" w:hAnsiTheme="minorEastAsia"/>
          <w:color w:val="000000"/>
          <w:sz w:val="21"/>
          <w:szCs w:val="21"/>
        </w:rPr>
      </w:pPr>
    </w:p>
    <w:p>
      <w:pPr>
        <w:pStyle w:val="Heading3"/>
        <w:spacing w:before="0" w:after="0"/>
        <w:jc w:val="center"/>
        <w:rPr>
          <w:rFonts w:asciiTheme="minorEastAsia" w:eastAsiaTheme="minorEastAsia" w:hAnsiTheme="minorEastAsia"/>
        </w:rPr>
      </w:pPr>
      <w:bookmarkStart w:id="23" w:name="_Toc73610164"/>
      <w:bookmarkStart w:id="24" w:name="_Toc73613646"/>
      <w:r>
        <w:rPr>
          <w:rFonts w:asciiTheme="minorEastAsia" w:eastAsiaTheme="minorEastAsia" w:hAnsiTheme="minorEastAsia" w:hint="eastAsia"/>
          <w:bCs w:val="0"/>
        </w:rPr>
        <w:t>三、</w:t>
      </w:r>
      <w:r>
        <w:rPr>
          <w:rFonts w:asciiTheme="minorEastAsia" w:eastAsiaTheme="minorEastAsia" w:hAnsiTheme="minorEastAsia"/>
          <w:bCs w:val="0"/>
        </w:rPr>
        <w:t>国家统计局关于印发《统计上大中小微型企业划分办法 （2017）》的通知</w:t>
      </w:r>
      <w:bookmarkEnd w:id="23"/>
      <w:bookmarkEnd w:id="24"/>
      <w:r>
        <w:rPr>
          <w:rFonts w:asciiTheme="minorEastAsia" w:eastAsiaTheme="minorEastAsia" w:hAnsiTheme="minorEastAsia"/>
          <w:bCs w:val="0"/>
        </w:rPr>
        <w:t> </w:t>
      </w: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国统字〔2017〕213号</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各省、自治区、直辖市统计局，新疆生产建设兵团统计局，国务院各有关部门，国家统计局各调查总队：</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附件：《统计上大中小微型企业划分办法（2017）》修订说明</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kern w:val="0"/>
          <w:szCs w:val="21"/>
        </w:rPr>
        <w:t>国家统计局</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kern w:val="0"/>
          <w:szCs w:val="21"/>
        </w:rPr>
        <w:t>2017年12月28日</w:t>
      </w:r>
    </w:p>
    <w:p>
      <w:pPr>
        <w:widowControl/>
        <w:spacing w:line="360" w:lineRule="auto"/>
        <w:jc w:val="center"/>
        <w:rPr>
          <w:rFonts w:asciiTheme="minorEastAsia" w:eastAsiaTheme="minorEastAsia" w:hAnsiTheme="minorEastAsia" w:cs="宋体"/>
          <w:b/>
          <w:bCs/>
          <w:kern w:val="0"/>
          <w:szCs w:val="21"/>
        </w:rPr>
      </w:pP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b/>
          <w:bCs/>
          <w:kern w:val="0"/>
          <w:szCs w:val="21"/>
        </w:rPr>
        <w:t>统计上大中小微型企业划分办法（2017）</w:t>
      </w:r>
    </w:p>
    <w:p>
      <w:pPr>
        <w:widowControl/>
        <w:spacing w:line="360" w:lineRule="auto"/>
        <w:jc w:val="left"/>
        <w:rPr>
          <w:rFonts w:asciiTheme="minorEastAsia" w:eastAsiaTheme="minorEastAsia" w:hAnsiTheme="minorEastAsia" w:cs="宋体"/>
          <w:kern w:val="0"/>
          <w:szCs w:val="21"/>
        </w:rPr>
      </w:pPr>
    </w:p>
    <w:p>
      <w:pPr>
        <w:widowControl/>
        <w:spacing w:line="360" w:lineRule="auto"/>
        <w:ind w:left="1"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一、根据工业和信息化部、国家统计局、国家发展改革委、财政部《关于印发中小企业划型标准规定的通知》（工信部联企业〔2011〕300号），以《国民经济行业分类》（GB/T4754-2017）为基础，结合统计工作的实际情况，制定本办法。</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二、本办法适用对象为在中华人民共和国境内依法设立的各种组织形式的法人企业或单位。个体工商户参照本办法进行划分。</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四、本办法按照行业门类、大类、中类和组合类别，依据从业人员、营业收入、资产总额等指标或替代指标，将我国的企业划分为大型、中型、小型、微型等四种类型。具体划分标准见附表。</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五、企业划分由政府综合统计部门根据统计年报每年确定一次，定报统计原则上不进行调整。</w:t>
      </w:r>
    </w:p>
    <w:p>
      <w:pPr>
        <w:widowControl/>
        <w:spacing w:line="360" w:lineRule="auto"/>
        <w:ind w:left="1"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六、本办法自印发之日起执行，国家统计局2011年印发的《统计上大中小微型企业划分办法》（国统字〔2011〕75号）同时废止。</w:t>
      </w:r>
    </w:p>
    <w:p>
      <w:pPr>
        <w:widowControl/>
        <w:spacing w:line="360" w:lineRule="auto"/>
        <w:jc w:val="left"/>
        <w:rPr>
          <w:rFonts w:asciiTheme="minorEastAsia" w:eastAsiaTheme="minorEastAsia" w:hAnsiTheme="minorEastAsia" w:cs="宋体"/>
          <w:kern w:val="0"/>
          <w:szCs w:val="21"/>
        </w:rPr>
      </w:pP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附件</w:t>
      </w: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b/>
          <w:bCs/>
          <w:kern w:val="0"/>
          <w:szCs w:val="21"/>
        </w:rPr>
        <w:t>《统计上大中小微型企业划分办法（2017）》修订说明</w:t>
      </w:r>
    </w:p>
    <w:p>
      <w:pPr>
        <w:widowControl/>
        <w:spacing w:line="360" w:lineRule="auto"/>
        <w:jc w:val="left"/>
        <w:rPr>
          <w:rFonts w:asciiTheme="minorEastAsia" w:eastAsiaTheme="minorEastAsia" w:hAnsiTheme="minorEastAsia" w:cs="宋体"/>
          <w:kern w:val="0"/>
          <w:szCs w:val="21"/>
        </w:rPr>
      </w:pP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一、修订背景</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目前执行的《统计上大中小微型企业划分办法》是2011年国家统计局根据工业和信息化部、国家统计局、国家发展改革委、财政部《关于印发中小企业划型标准规定的通知》（工信部联企业〔2011〕300号），同时依据《国民经济行业分类》（GB/T 4754—2011），制定并颁布的。</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2017年6月30日，《国民经济行业分类》（GB/T 4754—2017）正式颁布。8月29日，国家统计局印发《关于执行新国民经济行业分类国家标准的通知》（国统字〔2017〕142号），规定从2017年统计年报和2018年定期统计报表起统一使用新分类标准。为此，我们对2011年印发的《统计上大中小微型企业划分办法》进行修订。</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二、修订主要内容</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本次修订是在2011年《统计上大中小微型企业划分办法》基础上进行的，修订延续原有的分类原则、方法和结构框架，在保持适用范围不变的情况下,依据标准由《国民经济行业分类》（GB/T 4754—2011）修改为《国民经济行业分类》（GB/T 4754—2017），并根据新旧国民经济行业的对应关系，进行了行业所包含类别的对应调整。</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将交通运输业中包括的“装卸搬运和运输代理业”修改为“多式联运和运输代理业、装卸搬运”。</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仓储业所包括的行业中类，根据《国民经济行业分类》（GB/T 4754—2017）调整为“通用仓储，低温仓储，危险品仓储，谷物、棉花等农产品仓储，中药材仓储和其他仓储业”。</w:t>
      </w:r>
    </w:p>
    <w:p>
      <w:pPr>
        <w:widowControl/>
        <w:spacing w:line="360" w:lineRule="auto"/>
        <w:jc w:val="left"/>
        <w:rPr>
          <w:rFonts w:asciiTheme="minorEastAsia" w:eastAsiaTheme="minorEastAsia" w:hAnsiTheme="minorEastAsia" w:cs="宋体"/>
          <w:kern w:val="0"/>
          <w:szCs w:val="21"/>
        </w:rPr>
      </w:pP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附表</w:t>
      </w: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b/>
          <w:bCs/>
          <w:kern w:val="0"/>
          <w:szCs w:val="21"/>
        </w:rPr>
        <w:t>统计上大中小微型企业划分标准</w:t>
      </w:r>
    </w:p>
    <w:tbl>
      <w:tblPr>
        <w:tblStyle w:val="TableNormal"/>
        <w:tblW w:w="0" w:type="auto"/>
        <w:jc w:val="center"/>
        <w:tblLayout w:type="fixed"/>
        <w:tblCellMar>
          <w:top w:w="0" w:type="dxa"/>
          <w:left w:w="108" w:type="dxa"/>
          <w:bottom w:w="0" w:type="dxa"/>
          <w:right w:w="108" w:type="dxa"/>
        </w:tblCellMar>
      </w:tblPr>
      <w:tblGrid>
        <w:gridCol w:w="2113"/>
        <w:gridCol w:w="1369"/>
        <w:gridCol w:w="709"/>
        <w:gridCol w:w="1125"/>
        <w:gridCol w:w="1701"/>
        <w:gridCol w:w="1426"/>
        <w:gridCol w:w="992"/>
      </w:tblGrid>
      <w:tr>
        <w:tblPrEx>
          <w:tblW w:w="0" w:type="auto"/>
          <w:jc w:val="center"/>
          <w:tblLayout w:type="fixed"/>
          <w:tblCellMar>
            <w:top w:w="0" w:type="dxa"/>
            <w:left w:w="108" w:type="dxa"/>
            <w:bottom w:w="0" w:type="dxa"/>
            <w:right w:w="108" w:type="dxa"/>
          </w:tblCellMar>
        </w:tblPrEx>
        <w:trPr>
          <w:trHeight w:hRule="exact" w:val="622"/>
          <w:jc w:val="center"/>
        </w:trPr>
        <w:tc>
          <w:tcPr>
            <w:tcW w:w="2113" w:type="dxa"/>
            <w:tcBorders>
              <w:top w:val="single" w:sz="4" w:space="0" w:color="auto"/>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r>
              <w:rPr>
                <w:rFonts w:ascii="宋体" w:hAnsi="宋体" w:cs="宋体" w:hint="eastAsia"/>
                <w:b/>
                <w:bCs/>
                <w:color w:val="000000"/>
                <w:kern w:val="0"/>
                <w:sz w:val="18"/>
                <w:szCs w:val="18"/>
              </w:rPr>
              <w:br/>
            </w:r>
            <w:r>
              <w:rPr>
                <w:rFonts w:ascii="宋体" w:hAnsi="宋体" w:cs="宋体" w:hint="eastAsia"/>
                <w:b/>
                <w:bCs/>
                <w:color w:val="000000"/>
                <w:kern w:val="0"/>
                <w:sz w:val="18"/>
                <w:szCs w:val="18"/>
              </w:rPr>
              <w:t>单位</w:t>
            </w:r>
          </w:p>
        </w:tc>
        <w:tc>
          <w:tcPr>
            <w:tcW w:w="1125"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tcBorders>
              <w:top w:val="single" w:sz="4" w:space="0" w:color="auto"/>
              <w:left w:val="nil"/>
              <w:bottom w:val="single" w:sz="4" w:space="0" w:color="auto"/>
              <w:right w:val="nil"/>
            </w:tcBorders>
            <w:shd w:val="clear" w:color="auto" w:fill="auto"/>
            <w:vAlign w:val="center"/>
          </w:tcPr>
          <w:p>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tcBorders>
              <w:top w:val="nil"/>
              <w:left w:val="nil"/>
              <w:bottom w:val="single" w:sz="4" w:space="0" w:color="auto"/>
              <w:right w:val="single" w:sz="4" w:space="0" w:color="auto"/>
            </w:tcBorders>
            <w:shd w:val="clear" w:color="auto" w:fill="auto"/>
            <w:vAlign w:val="center"/>
          </w:tcPr>
          <w:p>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tcBorders>
              <w:top w:val="nil"/>
              <w:left w:val="nil"/>
              <w:bottom w:val="nil"/>
              <w:right w:val="single" w:sz="4" w:space="0" w:color="auto"/>
            </w:tcBorders>
            <w:shd w:val="clear" w:color="auto" w:fill="auto"/>
            <w:vAlign w:val="center"/>
          </w:tcPr>
          <w:p>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tcBorders>
              <w:top w:val="nil"/>
              <w:left w:val="nil"/>
              <w:bottom w:val="single" w:sz="4" w:space="0" w:color="auto"/>
              <w:right w:val="single" w:sz="4" w:space="0" w:color="auto"/>
            </w:tcBorders>
            <w:shd w:val="clear" w:color="auto" w:fill="auto"/>
            <w:vAlign w:val="center"/>
          </w:tcPr>
          <w:p>
            <w:pPr>
              <w:widowControl/>
              <w:ind w:left="-1" w:hanging="1" w:leftChars="-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仓储业*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single" w:sz="4" w:space="0" w:color="auto"/>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single" w:sz="4" w:space="0" w:color="auto"/>
              <w:left w:val="nil"/>
              <w:bottom w:val="single" w:sz="4" w:space="0" w:color="auto"/>
              <w:right w:val="single" w:sz="4" w:space="0" w:color="auto"/>
            </w:tcBorders>
            <w:vAlign w:val="center"/>
          </w:tcPr>
          <w:p>
            <w:pPr>
              <w:widowControl/>
              <w:jc w:val="left"/>
              <w:rPr>
                <w:rFonts w:ascii="宋体" w:hAnsi="宋体" w:cs="宋体"/>
                <w:color w:val="000000"/>
                <w:spacing w:val="-12"/>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tcBorders>
              <w:top w:val="nil"/>
              <w:left w:val="nil"/>
              <w:bottom w:val="single" w:sz="4" w:space="0" w:color="auto"/>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val="restart"/>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nil"/>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nil"/>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nil"/>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tblPrEx>
          <w:tblW w:w="0" w:type="auto"/>
          <w:jc w:val="center"/>
          <w:tblLayout w:type="fixed"/>
          <w:tblCellMar>
            <w:top w:w="0" w:type="dxa"/>
            <w:left w:w="108" w:type="dxa"/>
            <w:bottom w:w="0" w:type="dxa"/>
            <w:right w:w="108" w:type="dxa"/>
          </w:tblCellMar>
        </w:tblPrEx>
        <w:trPr>
          <w:trHeight w:hRule="exact" w:val="340"/>
          <w:jc w:val="center"/>
        </w:trPr>
        <w:tc>
          <w:tcPr>
            <w:tcW w:w="2113" w:type="dxa"/>
            <w:vMerge/>
            <w:tcBorders>
              <w:top w:val="nil"/>
              <w:left w:val="nil"/>
              <w:bottom w:val="single" w:sz="4" w:space="0" w:color="auto"/>
              <w:right w:val="single" w:sz="4" w:space="0" w:color="auto"/>
            </w:tcBorders>
            <w:vAlign w:val="center"/>
          </w:tcPr>
          <w:p>
            <w:pPr>
              <w:widowControl/>
              <w:jc w:val="left"/>
              <w:rPr>
                <w:rFonts w:ascii="宋体" w:hAnsi="宋体" w:cs="宋体"/>
                <w:color w:val="000000"/>
                <w:kern w:val="0"/>
                <w:sz w:val="18"/>
                <w:szCs w:val="18"/>
              </w:rPr>
            </w:pPr>
          </w:p>
        </w:tc>
        <w:tc>
          <w:tcPr>
            <w:tcW w:w="1369" w:type="dxa"/>
            <w:tcBorders>
              <w:top w:val="nil"/>
              <w:left w:val="nil"/>
              <w:bottom w:val="single" w:sz="4" w:space="0" w:color="auto"/>
              <w:right w:val="single" w:sz="4" w:space="0" w:color="auto"/>
            </w:tcBorders>
            <w:shd w:val="clear" w:color="auto" w:fill="auto"/>
            <w:vAlign w:val="center"/>
          </w:tcPr>
          <w:p>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tblPrEx>
          <w:tblW w:w="0" w:type="auto"/>
          <w:jc w:val="center"/>
          <w:tblLayout w:type="fixed"/>
          <w:tblCellMar>
            <w:top w:w="0" w:type="dxa"/>
            <w:left w:w="108" w:type="dxa"/>
            <w:bottom w:w="0" w:type="dxa"/>
            <w:right w:w="108" w:type="dxa"/>
          </w:tblCellMar>
        </w:tblPrEx>
        <w:trPr>
          <w:trHeight w:hRule="exact" w:val="397"/>
          <w:jc w:val="center"/>
        </w:trPr>
        <w:tc>
          <w:tcPr>
            <w:tcW w:w="2113" w:type="dxa"/>
            <w:tcBorders>
              <w:top w:val="nil"/>
              <w:left w:val="nil"/>
              <w:bottom w:val="single" w:sz="4" w:space="0" w:color="auto"/>
              <w:right w:val="single" w:sz="4" w:space="0" w:color="auto"/>
            </w:tcBorders>
            <w:shd w:val="clear" w:color="auto" w:fill="auto"/>
            <w:vAlign w:val="center"/>
          </w:tcPr>
          <w:p>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tcBorders>
              <w:top w:val="nil"/>
              <w:left w:val="nil"/>
              <w:bottom w:val="single" w:sz="4" w:space="0" w:color="auto"/>
              <w:right w:val="single" w:sz="4" w:space="0" w:color="auto"/>
            </w:tcBorders>
            <w:shd w:val="clear" w:color="auto" w:fill="auto"/>
            <w:vAlign w:val="center"/>
          </w:tcPr>
          <w:p>
            <w:pPr>
              <w:widowControl/>
              <w:ind w:left="19" w:hanging="126" w:leftChars="-51" w:hangingChars="60"/>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tcBorders>
              <w:top w:val="nil"/>
              <w:left w:val="nil"/>
              <w:bottom w:val="single" w:sz="4" w:space="0" w:color="auto"/>
              <w:right w:val="single" w:sz="4" w:space="0" w:color="auto"/>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tcBorders>
              <w:top w:val="nil"/>
              <w:left w:val="nil"/>
              <w:bottom w:val="single" w:sz="4" w:space="0" w:color="auto"/>
              <w:right w:val="nil"/>
            </w:tcBorders>
            <w:shd w:val="clear" w:color="auto" w:fill="auto"/>
            <w:vAlign w:val="center"/>
          </w:tcPr>
          <w:p>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说明：</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1.大型、中型和小型企业须同时满足所列指标的下限，否则下划一档；微型企业只须满足所列指标中的一项即可。</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pPr>
        <w:widowControl/>
        <w:spacing w:line="360" w:lineRule="auto"/>
        <w:ind w:firstLine="372" w:firstLineChars="177"/>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pPr>
        <w:spacing w:line="360" w:lineRule="auto"/>
        <w:rPr>
          <w:rFonts w:asciiTheme="minorEastAsia" w:eastAsiaTheme="minorEastAsia" w:hAnsiTheme="minorEastAsia"/>
          <w:szCs w:val="21"/>
        </w:rPr>
      </w:pPr>
    </w:p>
    <w:p>
      <w:pPr>
        <w:pStyle w:val="Heading3"/>
        <w:spacing w:before="0" w:after="0"/>
        <w:jc w:val="center"/>
      </w:pPr>
      <w:bookmarkStart w:id="25" w:name="_Toc73610165"/>
      <w:bookmarkStart w:id="26" w:name="_Toc73613647"/>
      <w:r>
        <w:rPr>
          <w:rFonts w:hint="eastAsia"/>
        </w:rPr>
        <w:t>四、</w:t>
      </w:r>
      <w:r>
        <w:t>财政部 民政部 中国残疾人联合会关于促进残疾人就业 政府采购政策的通知</w:t>
      </w:r>
      <w:bookmarkEnd w:id="25"/>
      <w:bookmarkEnd w:id="26"/>
      <w:r>
        <w:t xml:space="preserve"> </w:t>
      </w:r>
    </w:p>
    <w:p>
      <w:pPr>
        <w:pStyle w:val="NormalWeb"/>
        <w:shd w:val="clear" w:color="auto" w:fill="FFFFFF"/>
        <w:spacing w:line="360" w:lineRule="auto"/>
        <w:jc w:val="center"/>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财库〔2017〕141号</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为了发挥政府采购促进残疾人就业的作用，进一步保障残疾人权益，依照《政府采购法》、《残疾人保障法》等法律法规及相关规定，现就促进残疾人就业政府采购政策通知如下：</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一、享受政府采购支持政策的残疾人福利性单位应当同时满足以下条件：</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（一）安置的残疾人占本单位在职职工人数的比例不低于25%（含25%），并且安置的残疾人人数不少于10人（含10人）；</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（二）依法与安置的每位残疾人签订了一年以上（含一年）的劳动合同或服务协议；</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（三）为安置的每位残疾人按月足额缴纳了基本养老保险、基本医疗保险、失业保险、工伤保险和生育保险等社会保险费；</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（四）通过银行等金融机构向安置的每位残疾人，按月支付了不低于单位所在区县适用的经省级人民政府批准的月最低工资标准的工资；</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（五）提供本单位制造的货物、承担的工程或者服务（以下简称产品），或者提供其他残疾人福利性单位制造的货物（不包括使用非残疾人福利性单位注册商标的货物）。</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中标、成交供应商为残疾人福利性单位的，采购人或者其委托的采购代理机构应当随中标、成交结果同时公告其《残疾人福利性单位声明函》，接受社会监督。</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供应商提供的《残疾人福利性单位声明函》与事实不符的，依照《政府采购法》第七十七条第一款的规定追究法律责任。</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四、采购人采购公开招标数额标准以上的货物或者服务，因落实促进残疾人就业政策的需要，依法履行有关报批程序后，可采用公开招标以外的采购方式。</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六、省级财政部门可以结合本地区残疾人生产、经营的实际情况，细化政府采购支持措施。对符合国家有关部门规定条件的残疾人辅助性就业机构，可通过上述措施予以支持。各地制定的有关文件应当报财政部备案。</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七、本通知自2017年10月1日起执行。</w:t>
      </w:r>
    </w:p>
    <w:p>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　　</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财政部 民政部 中国残疾人联合会</w:t>
      </w:r>
    </w:p>
    <w:p>
      <w:pPr>
        <w:widowControl/>
        <w:spacing w:line="360" w:lineRule="auto"/>
        <w:jc w:val="right"/>
        <w:rPr>
          <w:rFonts w:asciiTheme="minorEastAsia" w:eastAsiaTheme="minorEastAsia" w:hAnsiTheme="minorEastAsia" w:cs="宋体"/>
          <w:kern w:val="0"/>
          <w:szCs w:val="21"/>
        </w:rPr>
      </w:pP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  2017年8月22日</w:t>
      </w:r>
    </w:p>
    <w:p>
      <w:pPr>
        <w:tabs>
          <w:tab w:val="left" w:pos="1875"/>
        </w:tabs>
      </w:pPr>
    </w:p>
    <w:p/>
    <w:p>
      <w:pPr>
        <w:pStyle w:val="Heading3"/>
        <w:spacing w:before="0" w:after="0"/>
        <w:jc w:val="center"/>
      </w:pPr>
      <w:r>
        <w:rPr>
          <w:rFonts w:hint="eastAsia"/>
        </w:rPr>
        <w:t>五、财政部 司法部关于政府采购支持监狱企业发展有关问题的通知</w:t>
      </w:r>
      <w:r>
        <w:t xml:space="preserve"> </w:t>
      </w:r>
    </w:p>
    <w:p>
      <w:pPr>
        <w:widowControl/>
        <w:spacing w:line="360" w:lineRule="auto"/>
        <w:jc w:val="center"/>
        <w:rPr>
          <w:rFonts w:asciiTheme="minorEastAsia" w:eastAsiaTheme="minorEastAsia" w:hAnsiTheme="minorEastAsia" w:cs="宋体"/>
          <w:kern w:val="0"/>
          <w:szCs w:val="21"/>
        </w:rPr>
      </w:pPr>
    </w:p>
    <w:p>
      <w:pPr>
        <w:widowControl/>
        <w:spacing w:line="360" w:lineRule="auto"/>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财库〔2014〕68号</w:t>
      </w:r>
    </w:p>
    <w:p>
      <w:pPr>
        <w:widowControl/>
        <w:spacing w:line="360" w:lineRule="auto"/>
        <w:jc w:val="left"/>
        <w:rPr>
          <w:rFonts w:asciiTheme="minorEastAsia" w:eastAsiaTheme="minorEastAsia" w:hAnsiTheme="minorEastAsia" w:cs="宋体"/>
          <w:kern w:val="0"/>
          <w:szCs w:val="21"/>
        </w:rPr>
      </w:pP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党中央有关部门，国务院各部委、各直属机构，全国人大常委会办公厅，全国政协办公厅，高法院，高检院，有关人民团体，中央国家机关政府采购中心，中共中央直属机关采购中心，全国人大机关采购中心，各省、自治区、直辖市、计划单列市财政厅（局）、司法厅（局），新疆生产建设兵团财务局、司法局、监狱管理局：</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政府采购支持监狱和戒毒企业（以下简称监狱企业）发展对稳定监狱企业生产，提高财政资金使用效益，为罪犯和戒毒人员提供长期可靠的劳动岗位，提高罪犯和戒毒人员的教育改造质量，减少重新违法犯罪，确保监狱、戒毒场所安全稳定，促进社会和谐稳定具有十分重要的意义。为进一步贯彻落实国务院《关于解决监狱企业困难的实施方案的通知》（国发</w:t>
      </w:r>
      <w:r>
        <w:rPr>
          <w:rFonts w:asciiTheme="minorEastAsia" w:eastAsiaTheme="minorEastAsia" w:hAnsiTheme="minorEastAsia" w:cs="宋体"/>
          <w:kern w:val="0"/>
          <w:szCs w:val="21"/>
        </w:rPr>
        <w:t>[2003]7</w:t>
      </w:r>
      <w:r>
        <w:rPr>
          <w:rFonts w:asciiTheme="minorEastAsia" w:eastAsiaTheme="minorEastAsia" w:hAnsiTheme="minorEastAsia" w:cs="宋体" w:hint="eastAsia"/>
          <w:kern w:val="0"/>
          <w:szCs w:val="21"/>
        </w:rPr>
        <w:t>号）文件精神，发挥政府采购支持监狱企业发展的作用，现就有关事项通知如下：</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一、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二、在政府采购活动中，监狱企业视同小型、微型企业，享受预留份额、评审中价格扣除等政府采购促进中小企业发展的政府采购政策。向监狱企业采购的金额，计入面向中小企业采购的统计数据。</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三、各地区、各部门要积极通过预留采购份额支持监狱企业。有制服采购项目的部门，应加强对政府采购预算和计划编制工作的统筹，预留本部门制服采购项目预算总额的</w:t>
      </w:r>
      <w:r>
        <w:rPr>
          <w:rFonts w:asciiTheme="minorEastAsia" w:eastAsiaTheme="minorEastAsia" w:hAnsiTheme="minorEastAsia" w:cs="宋体"/>
          <w:kern w:val="0"/>
          <w:szCs w:val="21"/>
        </w:rPr>
        <w:t>30%</w:t>
      </w:r>
      <w:r>
        <w:rPr>
          <w:rFonts w:asciiTheme="minorEastAsia" w:eastAsiaTheme="minorEastAsia" w:hAnsiTheme="minorEastAsia" w:cs="宋体" w:hint="eastAsia"/>
          <w:kern w:val="0"/>
          <w:szCs w:val="21"/>
        </w:rPr>
        <w:t>以上，专门面向监狱企业采购。省级以上政府部门组织的公务员考试、招生考试、等级考试、资格考试的试卷印刷项目原则上应当在符合有关资质的监狱企业范围内采购。各地在免费教科书政府采购工作中，应当根据符合教科书印制资质的监狱企业情况，提出由监狱企业印刷的比例要求。</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四、各地区可以结合本地区实际，对监狱企业生产的办公用品、家具用具、车辆维修和提供的保养服务、消防设备等，提出预留份额等政府采购支持措施，加大对监狱企业产品的采购力度。</w:t>
      </w:r>
    </w:p>
    <w:p>
      <w:pPr>
        <w:widowControl/>
        <w:spacing w:line="360" w:lineRule="auto"/>
        <w:ind w:firstLine="424" w:firstLineChars="202"/>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五、各地区、各部门要高度重视，加强组织管理和监督，做好政府采购支持监狱企业发展的相关工作。有关部门要加强监管，确保面向监狱企业采购的工作依法依规进行。各监狱企业要不断提高监狱企业产品的质量和服务水平，为做好监狱企业产品政府采购工作提供有力保障。</w:t>
      </w:r>
    </w:p>
    <w:p>
      <w:pPr>
        <w:widowControl/>
        <w:spacing w:line="360" w:lineRule="auto"/>
        <w:jc w:val="left"/>
        <w:rPr>
          <w:rFonts w:asciiTheme="minorEastAsia" w:eastAsiaTheme="minorEastAsia" w:hAnsiTheme="minorEastAsia" w:cs="宋体"/>
          <w:kern w:val="0"/>
          <w:szCs w:val="21"/>
        </w:rPr>
      </w:pP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中华人民共和国财政部</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中华人民共和国司法部</w:t>
      </w:r>
    </w:p>
    <w:p>
      <w:pPr>
        <w:widowControl/>
        <w:spacing w:line="360" w:lineRule="auto"/>
        <w:jc w:val="righ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2014年6月10日</w:t>
      </w:r>
    </w:p>
    <w:p>
      <w:pPr>
        <w:widowControl/>
        <w:spacing w:line="360" w:lineRule="auto"/>
        <w:jc w:val="center"/>
        <w:rPr>
          <w:rFonts w:asciiTheme="majorEastAsia" w:eastAsiaTheme="majorEastAsia" w:hAnsiTheme="majorEastAsia"/>
          <w:b/>
          <w:sz w:val="32"/>
          <w:szCs w:val="32"/>
        </w:rPr>
      </w:pPr>
      <w:r>
        <w:rPr>
          <w:rFonts w:asciiTheme="minorEastAsia" w:eastAsiaTheme="minorEastAsia" w:hAnsiTheme="minorEastAsia" w:cs="宋体"/>
          <w:kern w:val="0"/>
          <w:szCs w:val="21"/>
        </w:rPr>
        <w:br w:type="page"/>
      </w:r>
      <w:r>
        <w:rPr>
          <w:rFonts w:asciiTheme="majorEastAsia" w:eastAsiaTheme="majorEastAsia" w:hAnsiTheme="majorEastAsia" w:hint="eastAsia"/>
          <w:b/>
          <w:sz w:val="32"/>
          <w:szCs w:val="32"/>
        </w:rPr>
        <w:t>第二册  通用条款（公开招标）</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Start w:id="27" w:name="_Hlk72399513"/>
      <w:r>
        <w:rPr>
          <w:rFonts w:asciiTheme="majorEastAsia" w:eastAsiaTheme="majorEastAsia" w:hAnsiTheme="majorEastAsia" w:hint="eastAsia"/>
          <w:b/>
          <w:bCs/>
          <w:kern w:val="0"/>
          <w:sz w:val="28"/>
          <w:szCs w:val="28"/>
        </w:rPr>
        <w:t>总则</w:t>
      </w:r>
    </w:p>
    <w:p>
      <w:pPr>
        <w:spacing w:line="360" w:lineRule="auto"/>
        <w:outlineLvl w:val="1"/>
        <w:rPr>
          <w:rFonts w:asciiTheme="majorEastAsia" w:eastAsiaTheme="majorEastAsia" w:hAnsiTheme="majorEastAsia"/>
          <w:b/>
          <w:bCs/>
          <w:szCs w:val="21"/>
        </w:rPr>
      </w:pPr>
      <w:bookmarkEnd w:id="27"/>
      <w:r>
        <w:rPr>
          <w:rFonts w:asciiTheme="majorEastAsia" w:eastAsiaTheme="majorEastAsia" w:hAnsiTheme="majorEastAsia" w:hint="eastAsia"/>
          <w:b/>
          <w:bCs/>
          <w:szCs w:val="21"/>
        </w:rPr>
        <w:t>1. 通用条款说明</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1.1采购代理机构发出招标文件通用条款版本，列出深圳市政府采购项目进行招标采购所适用的通用条款内容。</w:t>
      </w:r>
      <w:bookmarkStart w:id="28" w:name="_Hlk72399729"/>
      <w:r>
        <w:rPr>
          <w:rFonts w:asciiTheme="majorEastAsia" w:eastAsiaTheme="majorEastAsia" w:hAnsiTheme="majorEastAsia" w:hint="eastAsia"/>
          <w:szCs w:val="21"/>
        </w:rPr>
        <w:t>如有需要，采购代理机构可以对通用条款的内容进行补充。</w:t>
      </w:r>
      <w:bookmarkEnd w:id="28"/>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1.2招标文件分为第一册“专用条款”和第二册“通用条款”。</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1.3“专用条款”是对本次采购项目的具体要求，包含招标公告、对通用条款的补充内容及其他关键信息、用户需求书、投标文件格式及附件、合同条款及格式等内容。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1.4“通用条款”是适用于政府采购公开招标项目的基础性条款，具有普遍性和通用性。</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1.5 “专用条款”和“通用条款”表述不一致或有冲突时，以“专用条款”为准。</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2</w:t>
      </w:r>
      <w:r>
        <w:rPr>
          <w:rFonts w:asciiTheme="majorEastAsia" w:eastAsiaTheme="majorEastAsia" w:hAnsiTheme="majorEastAsia"/>
          <w:b/>
          <w:bCs/>
          <w:szCs w:val="21"/>
        </w:rPr>
        <w:t>．</w:t>
      </w:r>
      <w:r>
        <w:rPr>
          <w:rFonts w:asciiTheme="majorEastAsia" w:eastAsiaTheme="majorEastAsia" w:hAnsiTheme="majorEastAsia" w:hint="eastAsia"/>
          <w:b/>
          <w:bCs/>
          <w:szCs w:val="21"/>
        </w:rPr>
        <w:t>招标说明</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本项目按照《深圳经济特区政府采购条例》、《深圳经济特区政府采购条例实施细则》及政府采购其他法律法规，通过公开招标方式确定中标供应商。</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3．定义</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szCs w:val="21"/>
        </w:rPr>
        <w:t>招标文件中下列术语应解释为：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w:t>
      </w:r>
      <w:r>
        <w:rPr>
          <w:rFonts w:asciiTheme="majorEastAsia" w:eastAsiaTheme="majorEastAsia" w:hAnsiTheme="majorEastAsia"/>
          <w:szCs w:val="21"/>
        </w:rPr>
        <w:t>1</w:t>
      </w:r>
      <w:r>
        <w:rPr>
          <w:rFonts w:asciiTheme="majorEastAsia" w:eastAsiaTheme="majorEastAsia" w:hAnsiTheme="majorEastAsia" w:hint="eastAsia"/>
          <w:szCs w:val="21"/>
        </w:rPr>
        <w:t>“采购人”：指利用财政性资金依法进行政府采购的国家机关、事业单位、团体组织；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 “政府集中采购机构”</w:t>
      </w:r>
      <w:r>
        <w:rPr>
          <w:rFonts w:asciiTheme="majorEastAsia" w:eastAsiaTheme="majorEastAsia" w:hAnsiTheme="majorEastAsia" w:cs="Arial" w:hint="eastAsia"/>
          <w:szCs w:val="21"/>
          <w:shd w:val="clear" w:color="auto" w:fill="FFFFFF"/>
        </w:rPr>
        <w:t>是指市政府设立的，对纳入集中采购目录内的采购项目组织实施采购，并对政府采购活动提供服务的专门机构；</w:t>
      </w:r>
      <w:r>
        <w:rPr>
          <w:rFonts w:asciiTheme="majorEastAsia" w:eastAsiaTheme="majorEastAsia" w:hAnsiTheme="majorEastAsia" w:hint="eastAsia"/>
          <w:szCs w:val="21"/>
        </w:rPr>
        <w:t>本文件所述的“政府集中采购机构”</w:t>
      </w:r>
      <w:r>
        <w:rPr>
          <w:rFonts w:asciiTheme="majorEastAsia" w:eastAsiaTheme="majorEastAsia" w:hAnsiTheme="majorEastAsia"/>
          <w:szCs w:val="21"/>
        </w:rPr>
        <w:t>指</w:t>
      </w:r>
      <w:r>
        <w:rPr>
          <w:rFonts w:asciiTheme="majorEastAsia" w:eastAsiaTheme="majorEastAsia" w:hAnsiTheme="majorEastAsia" w:hint="eastAsia"/>
          <w:szCs w:val="21"/>
        </w:rPr>
        <w:t>深圳公共资源交易中心；</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3.3“采购代理机构”是指根据采购人委托，代理政府采购事宜的社会采购代理机构。本招标文件的招标机构特指</w:t>
      </w:r>
      <w:r>
        <w:rPr>
          <w:rFonts w:asciiTheme="majorEastAsia" w:eastAsiaTheme="majorEastAsia" w:hAnsiTheme="majorEastAsia" w:hint="eastAsia"/>
          <w:b/>
          <w:bCs/>
          <w:szCs w:val="21"/>
        </w:rPr>
        <w:t>深圳市中正招标有限公司；</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3.4“投标人”，即供应商，指参加投标竞争并愿意按照招标文件要求向采购人提供货物、工程或者服务的依法成立的法人、其他组织或者自然人；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3.5“评审委员会”是依据《深圳经济特区政府采购条例》、《深圳经济特区政府采购条例实施细则》等有关规定组建的专门负责本次招标其评审工作的临时性机构；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3.6“日期”</w:t>
      </w:r>
      <w:r>
        <w:rPr>
          <w:rFonts w:asciiTheme="majorEastAsia" w:eastAsiaTheme="majorEastAsia" w:hAnsiTheme="majorEastAsia"/>
          <w:szCs w:val="21"/>
        </w:rPr>
        <w:t>指</w:t>
      </w:r>
      <w:r>
        <w:rPr>
          <w:rFonts w:asciiTheme="majorEastAsia" w:eastAsiaTheme="majorEastAsia" w:hAnsiTheme="majorEastAsia" w:hint="eastAsia"/>
          <w:szCs w:val="21"/>
        </w:rPr>
        <w:t>公历日；</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3.7“合同”指由本次招标所产生的合同或合约文件；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3.8“电子投标文件”指利用</w:t>
      </w:r>
      <w:r>
        <w:rPr>
          <w:rFonts w:asciiTheme="majorEastAsia" w:eastAsiaTheme="majorEastAsia" w:hAnsiTheme="majorEastAsia" w:hint="eastAsia"/>
          <w:bCs/>
          <w:szCs w:val="21"/>
        </w:rPr>
        <w:t>深圳公共资源交易网</w:t>
      </w:r>
      <w:r>
        <w:rPr>
          <w:rFonts w:asciiTheme="majorEastAsia" w:eastAsiaTheme="majorEastAsia" w:hAnsiTheme="majorEastAsia" w:hint="eastAsia"/>
          <w:szCs w:val="21"/>
        </w:rPr>
        <w:t>站提供的深圳智慧采购平台投标文件制作专用软件（以下简称：投标文件制作软件）制作并加密的投标文件,适用于网上投标；（投标文件制作软件可从“下载地址：</w:t>
      </w:r>
      <w:r>
        <w:rPr>
          <w:rFonts w:asciiTheme="majorEastAsia" w:eastAsiaTheme="majorEastAsia" w:hAnsiTheme="majorEastAsia"/>
          <w:szCs w:val="21"/>
        </w:rPr>
        <w:t>http://zfcg.szggzy.com/</w:t>
      </w:r>
      <w:r>
        <w:rPr>
          <w:rFonts w:asciiTheme="majorEastAsia" w:eastAsiaTheme="majorEastAsia" w:hAnsiTheme="majorEastAsia" w:hint="eastAsia"/>
          <w:szCs w:val="21"/>
        </w:rPr>
        <w:t>TPBidder/DownLoad/深圳市智慧采购平台投标文件制作专用软件.zip”下载）；</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3.9“网上投标”指通过</w:t>
      </w:r>
      <w:r>
        <w:rPr>
          <w:rFonts w:asciiTheme="majorEastAsia" w:eastAsiaTheme="majorEastAsia" w:hAnsiTheme="majorEastAsia" w:hint="eastAsia"/>
          <w:bCs/>
          <w:szCs w:val="21"/>
        </w:rPr>
        <w:t>深圳公共资源交易网</w:t>
      </w:r>
      <w:r>
        <w:rPr>
          <w:rFonts w:asciiTheme="majorEastAsia" w:eastAsiaTheme="majorEastAsia" w:hAnsiTheme="majorEastAsia" w:hint="eastAsia"/>
          <w:szCs w:val="21"/>
        </w:rPr>
        <w:t>站上传电子投标文件；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3.10招标文件中的标题或题名仅起引导作用，而不应视为对招标文件内容的理解和解释。</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 xml:space="preserve">4. </w:t>
      </w:r>
      <w:bookmarkStart w:id="29" w:name="_Hlk72398643"/>
      <w:r>
        <w:rPr>
          <w:rFonts w:asciiTheme="majorEastAsia" w:eastAsiaTheme="majorEastAsia" w:hAnsiTheme="majorEastAsia" w:hint="eastAsia"/>
          <w:b/>
          <w:bCs/>
          <w:szCs w:val="21"/>
        </w:rPr>
        <w:t>政府采购供应商责任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4.1欢迎诚信、有实力和有社会责任心的供应商参与政府采购事业。</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4.2投标人应当遵循公平竞争的原则，不得恶意串通，不得妨碍其他投标人的竞争行为，不得损害采购人或者其他投标人的合法权益。如违反上述要求，经核实后，供应商的投标无效。</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5．投标人参加政府采购的条件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5.1投标人应在投标前到</w:t>
      </w:r>
      <w:r>
        <w:rPr>
          <w:rFonts w:asciiTheme="majorEastAsia" w:eastAsiaTheme="majorEastAsia" w:hAnsiTheme="majorEastAsia" w:hint="eastAsia"/>
          <w:b/>
          <w:bCs/>
          <w:szCs w:val="21"/>
        </w:rPr>
        <w:t>深圳公共资源交易中心（具体在深圳交易集团有限公司政府采购业务分公司进行办理）</w:t>
      </w:r>
      <w:r>
        <w:rPr>
          <w:rFonts w:asciiTheme="majorEastAsia" w:eastAsiaTheme="majorEastAsia" w:hAnsiTheme="majorEastAsia" w:hint="eastAsia"/>
          <w:szCs w:val="21"/>
        </w:rPr>
        <w:t>进行注册并办理电子密钥。《</w:t>
      </w:r>
      <w:r>
        <w:fldChar w:fldCharType="begin"/>
      </w:r>
      <w:r>
        <w:instrText xml:space="preserve"> HYPERLINK "http://www.szzfcg.cn/viewer.do?id=2455258" \t "documentViewer2455258" </w:instrText>
      </w:r>
      <w:r>
        <w:fldChar w:fldCharType="separate"/>
      </w:r>
      <w:r>
        <w:rPr>
          <w:rFonts w:asciiTheme="majorEastAsia" w:eastAsiaTheme="majorEastAsia" w:hAnsiTheme="majorEastAsia"/>
          <w:szCs w:val="21"/>
        </w:rPr>
        <w:t>供应商注册及电子密钥新申请指引</w:t>
      </w:r>
      <w:r>
        <w:rPr>
          <w:rFonts w:asciiTheme="majorEastAsia" w:eastAsiaTheme="majorEastAsia" w:hAnsiTheme="majorEastAsia"/>
          <w:szCs w:val="21"/>
        </w:rPr>
        <w:fldChar w:fldCharType="end"/>
      </w:r>
      <w:r>
        <w:rPr>
          <w:rFonts w:asciiTheme="majorEastAsia" w:eastAsiaTheme="majorEastAsia" w:hAnsiTheme="majorEastAsia" w:hint="eastAsia"/>
          <w:szCs w:val="21"/>
        </w:rPr>
        <w:t>》详见</w:t>
      </w:r>
      <w:r>
        <w:rPr>
          <w:rFonts w:asciiTheme="majorEastAsia" w:eastAsiaTheme="majorEastAsia" w:hAnsiTheme="majorEastAsia"/>
          <w:szCs w:val="21"/>
        </w:rPr>
        <w:t>http://zfcg.szggzy.com/</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5.2投标人资格要求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参加本项目的投标人应具备的资格条件详见本项目招标公告中 “投标人资格要求”（即申请人的资格要求）的内容。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5.3联合体投标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5.3.1　以下有关联合体投标的条款仅适用于允许投标人组成联合体投标的项目。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5.3.2  由两个或两个以上的自然人、法人或者其他组织可以组成一个联合体，以一个供应商的身份共同投标时，应符合以下原则：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（1）投标联合体各方参加政府采购活动应当具备下列条件：</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1、具有独立承担民事责任的能力；</w:t>
      </w:r>
    </w:p>
    <w:p>
      <w:pPr>
        <w:spacing w:line="360" w:lineRule="auto"/>
        <w:ind w:left="420" w:firstLine="412" w:firstLineChars="196"/>
        <w:rPr>
          <w:rFonts w:asciiTheme="majorEastAsia" w:eastAsiaTheme="majorEastAsia" w:hAnsiTheme="majorEastAsia"/>
          <w:szCs w:val="21"/>
        </w:rPr>
      </w:pPr>
      <w:r>
        <w:rPr>
          <w:rFonts w:asciiTheme="majorEastAsia" w:eastAsiaTheme="majorEastAsia" w:hAnsiTheme="majorEastAsia" w:hint="eastAsia"/>
          <w:szCs w:val="21"/>
        </w:rPr>
        <w:t>2、有良好的商业信誉和健全的财务会计制度；</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3、具有履行合同所必需的设备和专业技术能力；</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4、有依法缴纳税收和社会保障资金的良好记录；</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5、参加政府采购活动前三年内，在经营活动中没有重大违法记录；</w:t>
      </w:r>
    </w:p>
    <w:p>
      <w:pPr>
        <w:spacing w:line="360" w:lineRule="auto"/>
        <w:ind w:left="420" w:firstLine="412" w:leftChars="200" w:firstLineChars="196"/>
        <w:rPr>
          <w:rFonts w:asciiTheme="majorEastAsia" w:eastAsiaTheme="majorEastAsia" w:hAnsiTheme="majorEastAsia"/>
          <w:szCs w:val="21"/>
        </w:rPr>
      </w:pPr>
      <w:r>
        <w:rPr>
          <w:rFonts w:asciiTheme="majorEastAsia" w:eastAsiaTheme="majorEastAsia" w:hAnsiTheme="majorEastAsia" w:hint="eastAsia"/>
          <w:szCs w:val="21"/>
        </w:rPr>
        <w:t>6、法律、行政法规规定的其他条件。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（2）联合体中有同类资质的供应商按照联合体分工承担相同工作的，应当按照资质等级较低的供应商确定资质等级；</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（3）是否允许联合体参加投标，应当由采购人和采购代理机构根据项目的实际情况和潜在供应商的数量自主决定，如果决定接受联合体投标则应当在招标公告中明示；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（4）投标人的投标文件及中标后签署的合同协议对联合体各方均具法律约束力；</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（5）联合体各方应当签订联合体投标协议，明确约定各方拟承担的工作和责任，并将该协议随投标文件一并递交给采购代理机构；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（6）联合体中标后，联合体各方应当共同与采购人签订合同，就中标项目向采购人承担连带责任；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以联合体形式参加政府采购活动的，联合体各方不得再单独参加或者与其他供应商另外组成联合体参加同一合同项下的政府采购活动，出现上述情况者，其投标和与此有关联合体、总包单位的投标将被拒绝；</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（8）本通用条款中“投标人”一词亦指联合体各方，专用条款另有规定或说明的除外。</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6．政策导向</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6.1政府采购扶持贫困地区、中小企业、监狱企业和残疾人福利性单位发展，支持节能减排、环境保护。</w:t>
      </w:r>
    </w:p>
    <w:p>
      <w:pPr>
        <w:spacing w:line="360" w:lineRule="auto"/>
        <w:ind w:firstLine="405"/>
        <w:rPr>
          <w:rFonts w:asciiTheme="majorEastAsia" w:eastAsiaTheme="majorEastAsia" w:hAnsiTheme="majorEastAsia"/>
          <w:szCs w:val="21"/>
          <w:shd w:val="clear" w:color="auto" w:fill="FFFFFF"/>
        </w:rPr>
      </w:pPr>
      <w:r>
        <w:rPr>
          <w:rFonts w:asciiTheme="majorEastAsia" w:eastAsiaTheme="majorEastAsia" w:hAnsiTheme="majorEastAsia" w:hint="eastAsia"/>
          <w:szCs w:val="21"/>
        </w:rPr>
        <w:t>6.2本项目落实深圳市政府采购供应商诚信管理政策要求。</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7. 本项目若涉及采购货物，则合格的货物及相应服务应满足以下要求：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 xml:space="preserve">.1  </w:t>
      </w:r>
      <w:r>
        <w:rPr>
          <w:rFonts w:asciiTheme="majorEastAsia" w:eastAsiaTheme="majorEastAsia" w:hAnsiTheme="majorEastAsia" w:hint="eastAsia"/>
          <w:szCs w:val="21"/>
        </w:rPr>
        <w:t>必须是全新、未使用过的原装合格正品（包括零部件），如安装或配置了软件的，须为正版软件。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7.2  国产的货物及其有关服务必须符合中华人民共和国的设计、制造生产标准及行业标准。招标公告有其他要求的，亦应符合其要求。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4投标人</w:t>
      </w:r>
      <w:bookmarkStart w:id="30" w:name="_Hlk72152753"/>
      <w:r>
        <w:rPr>
          <w:rFonts w:asciiTheme="majorEastAsia" w:eastAsiaTheme="majorEastAsia" w:hAnsiTheme="majorEastAsia" w:hint="eastAsia"/>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30"/>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7.6  工期要求：投标人在投标时对其所投项目应提交交货进度、交货计划等，在合同规定的时间内完成项目实施工作。</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7.7  投标人必须承担的设备运输、安装调试、验收检测和提供设备操作说明书、图纸等其他相关及类似的义务。</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8．投标费用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不论投标结果如何，投标人应承担其编制投标文件与递交投标文件所涉及的一切费用。</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9．踏勘现场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9.2投标人及其人员经过采购人的允许，可以进入采购人的项目现场踏勘。若招标文件要求投标人于统一时间地点踏勘现场的，投标人应当按时前往。</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9.3采购人应当通过采购代理机构向投标人提供有关现场的书面资料和数据。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9.4任何人或任何组织在踏勘现场时向投标人提供的任何书面资料或口头承诺，未经采购代理机构在网上发布或书面通知，均作无效处理。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9</w:t>
      </w:r>
      <w:r>
        <w:rPr>
          <w:rFonts w:asciiTheme="majorEastAsia" w:eastAsiaTheme="majorEastAsia" w:hAnsiTheme="majorEastAsia" w:hint="eastAsia"/>
          <w:szCs w:val="21"/>
        </w:rPr>
        <w:t>.</w:t>
      </w:r>
      <w:r>
        <w:rPr>
          <w:rFonts w:asciiTheme="majorEastAsia" w:eastAsiaTheme="majorEastAsia" w:hAnsiTheme="majorEastAsia"/>
          <w:szCs w:val="21"/>
        </w:rPr>
        <w:t>5</w:t>
      </w:r>
      <w:r>
        <w:rPr>
          <w:rFonts w:asciiTheme="majorEastAsia" w:eastAsiaTheme="majorEastAsia" w:hAnsiTheme="majorEastAsia" w:hint="eastAsia"/>
          <w:szCs w:val="21"/>
        </w:rPr>
        <w:t>未参与踏勘现场不作为否定投标人资格的理由。</w:t>
      </w:r>
    </w:p>
    <w:p>
      <w:pPr>
        <w:spacing w:line="360" w:lineRule="auto"/>
        <w:outlineLvl w:val="1"/>
        <w:rPr>
          <w:rFonts w:asciiTheme="majorEastAsia" w:eastAsiaTheme="majorEastAsia" w:hAnsiTheme="major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0</w:t>
      </w:r>
      <w:r>
        <w:rPr>
          <w:rFonts w:asciiTheme="majorEastAsia" w:eastAsiaTheme="majorEastAsia" w:hAnsiTheme="majorEastAsia" w:hint="eastAsia"/>
          <w:b/>
          <w:bCs/>
          <w:szCs w:val="21"/>
        </w:rPr>
        <w:t>．标前会议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0</w:t>
      </w:r>
      <w:r>
        <w:rPr>
          <w:rFonts w:asciiTheme="majorEastAsia" w:eastAsiaTheme="majorEastAsia" w:hAnsiTheme="majorEastAsia" w:hint="eastAsia"/>
          <w:szCs w:val="21"/>
        </w:rPr>
        <w:t>.</w:t>
      </w:r>
      <w:r>
        <w:rPr>
          <w:rFonts w:asciiTheme="majorEastAsia" w:eastAsiaTheme="majorEastAsia" w:hAnsiTheme="majorEastAsia"/>
          <w:szCs w:val="21"/>
        </w:rPr>
        <w:t>1</w:t>
      </w:r>
      <w:r>
        <w:rPr>
          <w:rFonts w:asciiTheme="majorEastAsia" w:eastAsiaTheme="majorEastAsia" w:hAnsiTheme="majorEastAsia" w:hint="eastAsia"/>
          <w:szCs w:val="21"/>
        </w:rPr>
        <w:t>如采购人或采购代理机构认为有必要组织标前会议，投标人应按照招标文件规定的时间或采购代理机构另行书面通知（包括采购代理机构网站发布方式，如更正公告等）的时间和地点，参与标前会议。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10</w:t>
      </w:r>
      <w:r>
        <w:rPr>
          <w:rFonts w:asciiTheme="majorEastAsia" w:eastAsiaTheme="majorEastAsia" w:hAnsiTheme="majorEastAsia" w:hint="eastAsia"/>
          <w:szCs w:val="21"/>
        </w:rPr>
        <w:t>.</w:t>
      </w:r>
      <w:r>
        <w:rPr>
          <w:rFonts w:asciiTheme="majorEastAsia" w:eastAsiaTheme="majorEastAsia" w:hAnsiTheme="majorEastAsia"/>
          <w:szCs w:val="21"/>
        </w:rPr>
        <w:t>2</w:t>
      </w:r>
      <w:r>
        <w:rPr>
          <w:rFonts w:asciiTheme="majorEastAsia" w:eastAsiaTheme="majorEastAsia" w:hAnsiTheme="majorEastAsia" w:hint="eastAsia"/>
          <w:szCs w:val="21"/>
        </w:rPr>
        <w:t>任何人或任何组织在标前会议时向投标人提供的任何书面资料或口头承诺，未经采购代理机构在网上发布或书面通知，均作无效处理。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0</w:t>
      </w:r>
      <w:r>
        <w:rPr>
          <w:rFonts w:asciiTheme="majorEastAsia" w:eastAsiaTheme="majorEastAsia" w:hAnsiTheme="majorEastAsia" w:hint="eastAsia"/>
          <w:szCs w:val="21"/>
        </w:rPr>
        <w:t>.</w:t>
      </w:r>
      <w:r>
        <w:rPr>
          <w:rFonts w:asciiTheme="majorEastAsia" w:eastAsiaTheme="majorEastAsia" w:hAnsiTheme="majorEastAsia"/>
          <w:szCs w:val="21"/>
        </w:rPr>
        <w:t>3</w:t>
      </w:r>
      <w:r>
        <w:rPr>
          <w:rFonts w:asciiTheme="majorEastAsia" w:eastAsiaTheme="majorEastAsia" w:hAnsiTheme="majorEastAsia" w:hint="eastAsia"/>
          <w:szCs w:val="21"/>
        </w:rPr>
        <w:t>未参与标前会议不作为否定投标人资格的理由。</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29"/>
      <w:r>
        <w:rPr>
          <w:rFonts w:asciiTheme="majorEastAsia" w:eastAsiaTheme="majorEastAsia" w:hAnsiTheme="majorEastAsia" w:hint="eastAsia"/>
          <w:b/>
          <w:bCs/>
          <w:kern w:val="0"/>
          <w:sz w:val="28"/>
          <w:szCs w:val="28"/>
        </w:rPr>
        <w:t>招标文件</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1</w:t>
      </w:r>
      <w:r>
        <w:rPr>
          <w:rFonts w:asciiTheme="majorEastAsia" w:eastAsiaTheme="majorEastAsia" w:hAnsiTheme="majorEastAsia" w:hint="eastAsia"/>
          <w:b/>
          <w:bCs/>
          <w:szCs w:val="21"/>
        </w:rPr>
        <w:t>．</w:t>
      </w:r>
      <w:bookmarkStart w:id="31" w:name="_Hlk72399819"/>
      <w:r>
        <w:rPr>
          <w:rFonts w:asciiTheme="majorEastAsia" w:eastAsiaTheme="majorEastAsia" w:hAnsiTheme="majorEastAsia" w:hint="eastAsia"/>
          <w:b/>
          <w:bCs/>
          <w:szCs w:val="21"/>
        </w:rPr>
        <w:t>招标文件的编制与组成</w:t>
      </w:r>
    </w:p>
    <w:p>
      <w:pPr>
        <w:snapToGrid w:val="0"/>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.1招标文件除以下内容外，采购代理机构在招标期间发出的澄清或修改等相关公告或通知内容，均是招标文件的组成部分，对投标人起约束作用；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招标文件包括下列内容：</w:t>
      </w:r>
    </w:p>
    <w:p>
      <w:pPr>
        <w:spacing w:line="360" w:lineRule="auto"/>
        <w:ind w:left="420" w:firstLine="412" w:leftChars="200" w:firstLineChars="196"/>
        <w:rPr>
          <w:rFonts w:asciiTheme="majorEastAsia" w:eastAsiaTheme="majorEastAsia" w:hAnsiTheme="majorEastAsia"/>
          <w:b/>
          <w:szCs w:val="21"/>
        </w:rPr>
      </w:pPr>
      <w:r>
        <w:rPr>
          <w:rFonts w:asciiTheme="majorEastAsia" w:eastAsiaTheme="majorEastAsia" w:hAnsiTheme="majorEastAsia" w:hint="eastAsia"/>
          <w:b/>
          <w:szCs w:val="21"/>
        </w:rPr>
        <w:t>第一册  专用条款</w:t>
      </w:r>
    </w:p>
    <w:p>
      <w:pPr>
        <w:spacing w:line="360" w:lineRule="auto"/>
        <w:ind w:left="1079" w:leftChars="514"/>
        <w:rPr>
          <w:rFonts w:asciiTheme="majorEastAsia" w:eastAsiaTheme="majorEastAsia" w:hAnsiTheme="majorEastAsia"/>
          <w:b/>
          <w:szCs w:val="21"/>
        </w:rPr>
      </w:pPr>
      <w:r>
        <w:rPr>
          <w:rFonts w:asciiTheme="majorEastAsia" w:eastAsiaTheme="majorEastAsia" w:hAnsiTheme="majorEastAsia" w:hint="eastAsia"/>
          <w:b/>
          <w:szCs w:val="21"/>
        </w:rPr>
        <w:t>关键信息</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第一章  招标公告</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第二章  对通用条款的补充内容及其他关键信息</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第三章  用户需求书</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第四章  投标文件格式及附件</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第五章  合同条款及格式</w:t>
      </w:r>
    </w:p>
    <w:p>
      <w:pPr>
        <w:spacing w:line="360" w:lineRule="auto"/>
        <w:ind w:left="420" w:firstLine="412" w:leftChars="200" w:firstLineChars="196"/>
        <w:outlineLvl w:val="0"/>
        <w:rPr>
          <w:rFonts w:asciiTheme="majorEastAsia" w:eastAsiaTheme="majorEastAsia" w:hAnsiTheme="majorEastAsia"/>
          <w:b/>
          <w:szCs w:val="21"/>
        </w:rPr>
      </w:pPr>
      <w:r>
        <w:rPr>
          <w:rFonts w:asciiTheme="majorEastAsia" w:eastAsiaTheme="majorEastAsia" w:hAnsiTheme="majorEastAsia" w:hint="eastAsia"/>
          <w:b/>
          <w:szCs w:val="21"/>
        </w:rPr>
        <w:t>第二册  通用条款</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第一章  总则</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第二章  招标文件</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第三章  投标文件的编制</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第四章  投标文件的递交</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第五章  开标</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第六章  评审要求</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第七章  评审程序及评审方法</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第八章  定标及公示</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第九章  公开招标失败的后续处理</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第十章  合同的授予与备案</w:t>
      </w:r>
    </w:p>
    <w:p>
      <w:pPr>
        <w:spacing w:line="360" w:lineRule="auto"/>
        <w:ind w:left="630" w:firstLine="412" w:leftChars="300" w:firstLineChars="196"/>
        <w:outlineLvl w:val="0"/>
        <w:rPr>
          <w:rFonts w:asciiTheme="majorEastAsia" w:eastAsiaTheme="majorEastAsia" w:hAnsiTheme="majorEastAsia"/>
          <w:szCs w:val="21"/>
        </w:rPr>
      </w:pPr>
      <w:r>
        <w:rPr>
          <w:rFonts w:asciiTheme="majorEastAsia" w:eastAsiaTheme="majorEastAsia" w:hAnsiTheme="majorEastAsia" w:hint="eastAsia"/>
          <w:szCs w:val="21"/>
        </w:rPr>
        <w:t>第十一章  质疑处理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1</w:t>
      </w:r>
      <w:r>
        <w:rPr>
          <w:rFonts w:asciiTheme="majorEastAsia" w:eastAsiaTheme="majorEastAsia" w:hAnsiTheme="majorEastAsia" w:hint="eastAsia"/>
          <w:szCs w:val="21"/>
        </w:rPr>
        <w:t>.3任何人或任何组织向投标人提交的任何书面或口头资料，未经采购代理机构在网上发布或书面通知，均作无效处理，不得作为招标文件的组成部分。采购代理机构对投标人由此而做出的推论、理解和结论概不负责。</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w:t>
      </w:r>
      <w:r>
        <w:rPr>
          <w:rFonts w:asciiTheme="majorEastAsia" w:eastAsiaTheme="majorEastAsia" w:hAnsiTheme="majorEastAsia"/>
          <w:b/>
          <w:bCs/>
          <w:szCs w:val="21"/>
        </w:rPr>
        <w:t>2</w:t>
      </w:r>
      <w:r>
        <w:rPr>
          <w:rFonts w:asciiTheme="majorEastAsia" w:eastAsiaTheme="majorEastAsia" w:hAnsiTheme="majorEastAsia" w:hint="eastAsia"/>
          <w:b/>
          <w:bCs/>
          <w:szCs w:val="21"/>
        </w:rPr>
        <w:t>．招标文件的澄清</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.1招标文件澄清的目的是澄清、解答投标人在查阅招标文件后或现场踏勘中可能提出的与投标有关的疑问或询问。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.2投标人如对招标文件内容有疑问，应当在招标公告规定的澄清（提问）截止时间前以网上提问的形式通过网上政府采购系统提交采购代理机构。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2</w:t>
      </w:r>
      <w:r>
        <w:rPr>
          <w:rFonts w:asciiTheme="majorEastAsia" w:eastAsiaTheme="majorEastAsia" w:hAnsiTheme="majorEastAsia" w:hint="eastAsia"/>
          <w:szCs w:val="21"/>
        </w:rPr>
        <w:t>.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w:t>
      </w:r>
      <w:r>
        <w:rPr>
          <w:rFonts w:asciiTheme="majorEastAsia" w:eastAsiaTheme="majorEastAsia" w:hAnsiTheme="majorEastAsia"/>
          <w:szCs w:val="21"/>
        </w:rPr>
        <w:t>3.3</w:t>
      </w:r>
      <w:r>
        <w:rPr>
          <w:rFonts w:asciiTheme="majorEastAsia" w:eastAsiaTheme="majorEastAsia" w:hAnsiTheme="majorEastAsia" w:hint="eastAsia"/>
          <w:szCs w:val="21"/>
        </w:rPr>
        <w:t>、1</w:t>
      </w:r>
      <w:r>
        <w:rPr>
          <w:rFonts w:asciiTheme="majorEastAsia" w:eastAsiaTheme="majorEastAsia" w:hAnsiTheme="majorEastAsia"/>
          <w:szCs w:val="21"/>
        </w:rPr>
        <w:t>3.4</w:t>
      </w:r>
      <w:r>
        <w:rPr>
          <w:rFonts w:asciiTheme="majorEastAsia" w:eastAsiaTheme="majorEastAsia" w:hAnsiTheme="majorEastAsia" w:hint="eastAsia"/>
          <w:szCs w:val="21"/>
        </w:rPr>
        <w:t>款规定执行。</w:t>
      </w:r>
    </w:p>
    <w:p>
      <w:pPr>
        <w:spacing w:line="360" w:lineRule="auto"/>
        <w:rPr>
          <w:rFonts w:asciiTheme="majorEastAsia" w:eastAsiaTheme="majorEastAsia" w:hAnsiTheme="majorEastAsia"/>
          <w:b/>
          <w:bCs/>
          <w:szCs w:val="21"/>
        </w:rPr>
      </w:pPr>
      <w:r>
        <w:rPr>
          <w:rFonts w:asciiTheme="majorEastAsia" w:eastAsiaTheme="majorEastAsia" w:hAnsiTheme="majorEastAsia"/>
          <w:b/>
          <w:bCs/>
          <w:szCs w:val="21"/>
        </w:rPr>
        <w:t>1</w:t>
      </w:r>
      <w:r>
        <w:rPr>
          <w:rFonts w:asciiTheme="majorEastAsia" w:eastAsiaTheme="majorEastAsia" w:hAnsiTheme="majorEastAsia" w:hint="eastAsia"/>
          <w:b/>
          <w:bCs/>
          <w:szCs w:val="21"/>
        </w:rPr>
        <w:t>3．招标文件的修改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3.1招标文件发出后，在投标截止日期前任何时候，确需要变更招标文件内容的，采购代理机构可主动或在解答投标人提出的澄清问题时对招标文件进行修改。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3.2招标文件的修改以书面形式（包括采购代理机构网站发布方式，如更正公告等）发送给所有投标人，招标文件的修改内容作为招标文件的组成部分，并具有约束力。</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31"/>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投标文件的编制</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14．</w:t>
      </w:r>
      <w:bookmarkStart w:id="32" w:name="_Hlk72400236"/>
      <w:r>
        <w:rPr>
          <w:rFonts w:asciiTheme="majorEastAsia" w:eastAsiaTheme="majorEastAsia" w:hAnsiTheme="majorEastAsia" w:hint="eastAsia"/>
          <w:b/>
          <w:bCs/>
          <w:szCs w:val="21"/>
        </w:rPr>
        <w:t>投标文件的语言及度量单位</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14.2 除技术规范另有规定外，投标文件使用的度量单位，均采用中华人民共和国法定计量单位。</w:t>
      </w:r>
    </w:p>
    <w:p>
      <w:pPr>
        <w:spacing w:line="360" w:lineRule="auto"/>
        <w:rPr>
          <w:rFonts w:asciiTheme="majorEastAsia" w:eastAsiaTheme="majorEastAsia" w:hAnsiTheme="majorEastAsia"/>
          <w:b/>
          <w:bCs/>
          <w:szCs w:val="21"/>
        </w:rPr>
      </w:pPr>
      <w:bookmarkEnd w:id="32"/>
      <w:r>
        <w:rPr>
          <w:rFonts w:asciiTheme="majorEastAsia" w:eastAsiaTheme="majorEastAsia" w:hAnsiTheme="majorEastAsia" w:hint="eastAsia"/>
          <w:b/>
          <w:bCs/>
          <w:szCs w:val="21"/>
        </w:rPr>
        <w:t>15．</w:t>
      </w:r>
      <w:bookmarkStart w:id="33" w:name="_Hlk72401567"/>
      <w:r>
        <w:rPr>
          <w:rFonts w:asciiTheme="majorEastAsia" w:eastAsiaTheme="majorEastAsia" w:hAnsiTheme="majorEastAsia" w:hint="eastAsia"/>
          <w:b/>
          <w:bCs/>
          <w:szCs w:val="21"/>
        </w:rPr>
        <w:t>投标文件的组成</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具体内容在招标文件专用条款中进行规定。</w:t>
      </w:r>
    </w:p>
    <w:p>
      <w:pPr>
        <w:spacing w:line="360" w:lineRule="auto"/>
        <w:rPr>
          <w:rFonts w:asciiTheme="majorEastAsia" w:eastAsiaTheme="majorEastAsia" w:hAnsiTheme="majorEastAsia"/>
          <w:b/>
          <w:bCs/>
          <w:szCs w:val="21"/>
        </w:rPr>
      </w:pPr>
      <w:r>
        <w:rPr>
          <w:rFonts w:asciiTheme="majorEastAsia" w:eastAsiaTheme="majorEastAsia" w:hAnsiTheme="majorEastAsia"/>
          <w:b/>
          <w:bCs/>
          <w:szCs w:val="21"/>
        </w:rPr>
        <w:t>16．投标文件格式</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投标文件包括本通用条款第</w:t>
      </w:r>
      <w:r>
        <w:rPr>
          <w:rFonts w:asciiTheme="majorEastAsia" w:eastAsiaTheme="majorEastAsia" w:hAnsiTheme="majorEastAsia"/>
          <w:szCs w:val="21"/>
        </w:rPr>
        <w:t>15条中规定的内容。如招标文件提供了投标文件格式，则</w:t>
      </w:r>
      <w:r>
        <w:rPr>
          <w:rFonts w:asciiTheme="majorEastAsia" w:eastAsiaTheme="majorEastAsia" w:hAnsiTheme="majorEastAsia" w:hint="eastAsia"/>
          <w:b/>
          <w:bCs/>
          <w:szCs w:val="21"/>
        </w:rPr>
        <w:t>投标人提交的投标文件应使用招标文件所提供的相应格式</w:t>
      </w:r>
      <w:r>
        <w:rPr>
          <w:rFonts w:asciiTheme="majorEastAsia" w:eastAsiaTheme="majorEastAsia" w:hAnsiTheme="majorEastAsia" w:hint="eastAsia"/>
          <w:szCs w:val="21"/>
        </w:rPr>
        <w:t>（表格均可按同样格式扩展）。</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17．投标货币</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本项目的投标报价应以人民币计。</w:t>
      </w:r>
    </w:p>
    <w:p>
      <w:pPr>
        <w:spacing w:line="360" w:lineRule="auto"/>
        <w:rPr>
          <w:rFonts w:asciiTheme="majorEastAsia" w:eastAsiaTheme="majorEastAsia" w:hAnsiTheme="majorEastAsia"/>
          <w:b/>
          <w:bCs/>
          <w:szCs w:val="21"/>
        </w:rPr>
      </w:pPr>
      <w:bookmarkEnd w:id="33"/>
      <w:r>
        <w:rPr>
          <w:rFonts w:asciiTheme="majorEastAsia" w:eastAsiaTheme="majorEastAsia" w:hAnsiTheme="majorEastAsia" w:hint="eastAsia"/>
          <w:b/>
          <w:bCs/>
          <w:szCs w:val="21"/>
        </w:rPr>
        <w:t>18．</w:t>
      </w:r>
      <w:bookmarkStart w:id="34" w:name="_Hlk72401735"/>
      <w:r>
        <w:rPr>
          <w:rFonts w:asciiTheme="majorEastAsia" w:eastAsiaTheme="majorEastAsia" w:hAnsiTheme="majorEastAsia" w:hint="eastAsia"/>
          <w:b/>
          <w:bCs/>
          <w:szCs w:val="21"/>
        </w:rPr>
        <w:t>证明投标文件投标技术方案的合格性和符合招标文件规定的文件要求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w:t>
      </w:r>
      <w:r>
        <w:rPr>
          <w:rFonts w:asciiTheme="majorEastAsia" w:eastAsiaTheme="majorEastAsia" w:hAnsiTheme="majorEastAsia"/>
          <w:szCs w:val="21"/>
        </w:rPr>
        <w:t xml:space="preserve">.1 </w:t>
      </w:r>
      <w:r>
        <w:rPr>
          <w:rFonts w:asciiTheme="majorEastAsia" w:eastAsiaTheme="majorEastAsia" w:hAnsiTheme="majorEastAsia" w:hint="eastAsia"/>
          <w:szCs w:val="21"/>
        </w:rPr>
        <w:t>投标人应提交证明文件，证明其投标技术方案项下的货物和服务的合格性符合招标文件规定。该投标技术方案及其证明文件均作为投标文件组成部分。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8</w:t>
      </w:r>
      <w:r>
        <w:rPr>
          <w:rFonts w:asciiTheme="majorEastAsia" w:eastAsiaTheme="majorEastAsia" w:hAnsiTheme="majorEastAsia"/>
          <w:szCs w:val="21"/>
        </w:rPr>
        <w:t xml:space="preserve">.2 </w:t>
      </w:r>
      <w:r>
        <w:rPr>
          <w:rFonts w:asciiTheme="majorEastAsia" w:eastAsiaTheme="majorEastAsia" w:hAnsiTheme="majorEastAsia" w:hint="eastAsia"/>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18.2.1主要技术指标和性能的详细说明。</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w:t>
      </w:r>
      <w:r>
        <w:rPr>
          <w:rFonts w:asciiTheme="majorEastAsia" w:eastAsiaTheme="majorEastAsia" w:hAnsiTheme="majorEastAsia"/>
          <w:szCs w:val="21"/>
        </w:rPr>
        <w:t>2</w:t>
      </w:r>
      <w:r>
        <w:rPr>
          <w:rFonts w:asciiTheme="majorEastAsia" w:eastAsiaTheme="majorEastAsia" w:hAnsiTheme="majorEastAsia" w:hint="eastAsia"/>
          <w:szCs w:val="21"/>
        </w:rPr>
        <w:t>投标产品从采购人开始使用至招标文件中规定的周期内正常、连续地使用所必须的备件和专用工具清单，包括备件和专用工具的货源及现行价格。</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w:t>
      </w:r>
      <w:r>
        <w:rPr>
          <w:rFonts w:asciiTheme="majorEastAsia" w:eastAsiaTheme="majorEastAsia" w:hAnsiTheme="majorEastAsia"/>
          <w:szCs w:val="21"/>
        </w:rPr>
        <w:t>3</w:t>
      </w:r>
      <w:r>
        <w:rPr>
          <w:rFonts w:asciiTheme="majorEastAsia" w:eastAsiaTheme="majorEastAsia" w:hAnsiTheme="majorEastAsia" w:hint="eastAsia"/>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18.3相关资料不符合18.2款要求的，评审委员会有权认定为投标技术方案不合格响应，其相关分数予以扣减或作投标无效处理。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8</w:t>
      </w:r>
      <w:r>
        <w:rPr>
          <w:rFonts w:asciiTheme="majorEastAsia" w:eastAsiaTheme="majorEastAsia" w:hAnsiTheme="majorEastAsia"/>
          <w:szCs w:val="21"/>
        </w:rPr>
        <w:t>.</w:t>
      </w:r>
      <w:r>
        <w:rPr>
          <w:rFonts w:asciiTheme="majorEastAsia" w:eastAsiaTheme="majorEastAsia" w:hAnsiTheme="majorEastAsia" w:hint="eastAsia"/>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18.5除非另有规定或说明，投标人对同一项目投标时，不得同时提供两套或两套以上的投标方案。</w:t>
      </w:r>
    </w:p>
    <w:p>
      <w:pPr>
        <w:spacing w:line="360" w:lineRule="auto"/>
        <w:rPr>
          <w:rFonts w:asciiTheme="majorEastAsia" w:eastAsiaTheme="majorEastAsia" w:hAnsiTheme="majorEastAsia"/>
          <w:b/>
          <w:bCs/>
          <w:szCs w:val="21"/>
        </w:rPr>
      </w:pPr>
      <w:bookmarkEnd w:id="34"/>
      <w:r>
        <w:rPr>
          <w:rFonts w:asciiTheme="majorEastAsia" w:eastAsiaTheme="majorEastAsia" w:hAnsiTheme="majorEastAsia" w:hint="eastAsia"/>
          <w:b/>
          <w:bCs/>
          <w:szCs w:val="21"/>
        </w:rPr>
        <w:t>19．</w:t>
      </w:r>
      <w:bookmarkStart w:id="35" w:name="_Hlk72402034"/>
      <w:r>
        <w:rPr>
          <w:rFonts w:asciiTheme="majorEastAsia" w:eastAsiaTheme="majorEastAsia" w:hAnsiTheme="majorEastAsia" w:hint="eastAsia"/>
          <w:b/>
          <w:bCs/>
          <w:szCs w:val="21"/>
        </w:rPr>
        <w:t>投标文件其他证明文件的要求</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36" w:name="_Hlk71407299"/>
    </w:p>
    <w:p>
      <w:pPr>
        <w:spacing w:line="360" w:lineRule="auto"/>
        <w:ind w:firstLine="412" w:firstLineChars="196"/>
        <w:rPr>
          <w:rFonts w:asciiTheme="majorEastAsia" w:eastAsiaTheme="majorEastAsia" w:hAnsiTheme="majorEastAsia"/>
          <w:szCs w:val="21"/>
        </w:rPr>
      </w:pPr>
      <w:bookmarkEnd w:id="36"/>
      <w:r>
        <w:rPr>
          <w:rFonts w:asciiTheme="majorEastAsia" w:eastAsiaTheme="majorEastAsia" w:hAnsiTheme="majorEastAsia"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20．投标有效期</w:t>
      </w:r>
    </w:p>
    <w:p>
      <w:pPr>
        <w:spacing w:line="360" w:lineRule="auto"/>
        <w:ind w:firstLine="412" w:firstLineChars="196"/>
        <w:rPr>
          <w:rFonts w:asciiTheme="majorEastAsia" w:eastAsiaTheme="majorEastAsia" w:hAnsiTheme="majorEastAsia"/>
          <w:szCs w:val="21"/>
        </w:rPr>
      </w:pPr>
      <w:bookmarkEnd w:id="35"/>
      <w:bookmarkStart w:id="37" w:name="_Hlk72402214"/>
      <w:r>
        <w:rPr>
          <w:rFonts w:asciiTheme="majorEastAsia" w:eastAsiaTheme="majorEastAsia" w:hAnsiTheme="majorEastAsia" w:hint="eastAsia"/>
          <w:szCs w:val="21"/>
        </w:rPr>
        <w:t>20.1 投标有效期为</w:t>
      </w:r>
      <w:r>
        <w:rPr>
          <w:rFonts w:asciiTheme="majorEastAsia" w:eastAsiaTheme="majorEastAsia" w:hAnsiTheme="majorEastAsia" w:cs="Arial" w:hint="eastAsia"/>
          <w:szCs w:val="21"/>
        </w:rPr>
        <w:t>从投标截止之日算起的日历天数。</w:t>
      </w:r>
      <w:r>
        <w:rPr>
          <w:rFonts w:asciiTheme="majorEastAsia" w:eastAsiaTheme="majorEastAsia" w:hAnsiTheme="majorEastAsia" w:hint="eastAsia"/>
          <w:szCs w:val="21"/>
        </w:rPr>
        <w:t>在此期限内，所有投标文件均保持有效。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20.2 在特殊情况下，采购代理机构在原定的投标有效期满之前，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20</w:t>
      </w:r>
      <w:r>
        <w:rPr>
          <w:rFonts w:asciiTheme="majorEastAsia" w:eastAsiaTheme="majorEastAsia" w:hAnsiTheme="majorEastAsia"/>
          <w:szCs w:val="21"/>
        </w:rPr>
        <w:t>.3</w:t>
      </w:r>
      <w:r>
        <w:rPr>
          <w:rFonts w:asciiTheme="majorEastAsia" w:eastAsiaTheme="majorEastAsia" w:hAnsiTheme="majorEastAsia" w:hint="eastAsia"/>
          <w:szCs w:val="21"/>
        </w:rPr>
        <w:t xml:space="preserve"> 中标供应商的投标文件有效期，截止于完成本招标文件规定的全部项目内容，并通过竣工验收及保修期结束。</w:t>
      </w:r>
    </w:p>
    <w:p>
      <w:pPr>
        <w:spacing w:line="360" w:lineRule="auto"/>
        <w:rPr>
          <w:rFonts w:asciiTheme="majorEastAsia" w:eastAsiaTheme="majorEastAsia" w:hAnsiTheme="majorEastAsia"/>
          <w:szCs w:val="21"/>
        </w:rPr>
      </w:pPr>
      <w:bookmarkEnd w:id="37"/>
      <w:r>
        <w:rPr>
          <w:rFonts w:asciiTheme="majorEastAsia" w:eastAsiaTheme="majorEastAsia" w:hAnsiTheme="majorEastAsia" w:hint="eastAsia"/>
          <w:szCs w:val="21"/>
        </w:rPr>
        <w:t>21．</w:t>
      </w:r>
      <w:bookmarkStart w:id="38" w:name="_Hlk72402325"/>
      <w:r>
        <w:rPr>
          <w:rFonts w:asciiTheme="majorEastAsia" w:eastAsiaTheme="majorEastAsia" w:hAnsiTheme="majorEastAsia" w:hint="eastAsia"/>
          <w:szCs w:val="21"/>
        </w:rPr>
        <w:t xml:space="preserve">关于投标保证金 </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21.1 根据《</w:t>
      </w:r>
      <w:r>
        <w:rPr>
          <w:rFonts w:asciiTheme="majorEastAsia" w:eastAsiaTheme="majorEastAsia" w:hAnsiTheme="majorEastAsia"/>
          <w:szCs w:val="21"/>
        </w:rPr>
        <w:t>深圳市财政局关于明确政府采购保证金管理工作的通知</w:t>
      </w:r>
      <w:r>
        <w:rPr>
          <w:rFonts w:asciiTheme="majorEastAsia" w:eastAsiaTheme="majorEastAsia" w:hAnsiTheme="majorEastAsia" w:hint="eastAsia"/>
          <w:szCs w:val="21"/>
        </w:rPr>
        <w:t>》（深财购[</w:t>
      </w:r>
      <w:r>
        <w:rPr>
          <w:rFonts w:asciiTheme="majorEastAsia" w:eastAsiaTheme="majorEastAsia" w:hAnsiTheme="majorEastAsia"/>
          <w:szCs w:val="21"/>
        </w:rPr>
        <w:t>2019]42</w:t>
      </w:r>
      <w:r>
        <w:rPr>
          <w:rFonts w:asciiTheme="majorEastAsia" w:eastAsiaTheme="majorEastAsia" w:hAnsiTheme="majorEastAsia" w:hint="eastAsia"/>
          <w:szCs w:val="21"/>
        </w:rPr>
        <w:t>号）文的规定，本项目不收取投标保证金。</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22．投标人的替代方案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60" w:lineRule="auto"/>
        <w:rPr>
          <w:rFonts w:asciiTheme="majorEastAsia" w:eastAsiaTheme="majorEastAsia" w:hAnsiTheme="majorEastAsia"/>
          <w:b/>
          <w:bCs/>
          <w:szCs w:val="21"/>
        </w:rPr>
      </w:pPr>
      <w:bookmarkEnd w:id="38"/>
      <w:r>
        <w:rPr>
          <w:rFonts w:asciiTheme="majorEastAsia" w:eastAsiaTheme="majorEastAsia" w:hAnsiTheme="majorEastAsia" w:hint="eastAsia"/>
          <w:b/>
          <w:bCs/>
          <w:szCs w:val="21"/>
        </w:rPr>
        <w:t>23．</w:t>
      </w:r>
      <w:bookmarkStart w:id="39" w:name="_Hlk72402860"/>
      <w:r>
        <w:rPr>
          <w:rFonts w:asciiTheme="majorEastAsia" w:eastAsiaTheme="majorEastAsia" w:hAnsiTheme="majorEastAsia"/>
          <w:b/>
          <w:bCs/>
          <w:szCs w:val="21"/>
        </w:rPr>
        <w:t>投标文件的</w:t>
      </w:r>
      <w:r>
        <w:rPr>
          <w:rFonts w:asciiTheme="majorEastAsia" w:eastAsiaTheme="majorEastAsia" w:hAnsiTheme="majorEastAsia" w:hint="eastAsia"/>
          <w:b/>
          <w:bCs/>
          <w:szCs w:val="21"/>
        </w:rPr>
        <w:t>制作</w:t>
      </w:r>
      <w:r>
        <w:rPr>
          <w:rFonts w:asciiTheme="majorEastAsia" w:eastAsiaTheme="majorEastAsia" w:hAnsiTheme="majorEastAsia"/>
          <w:b/>
          <w:bCs/>
          <w:szCs w:val="21"/>
        </w:rPr>
        <w:t>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23.1投标人应准备所投项目的电子投标文件一份。此电子投标文件须由投标人根据采购代理机构提供的后缀名为.szczf的电子招标文件，下载并使用相应的深圳智慧采购平台投标文件制作专用软件打开招标文件（.szczf格式）【下载地址：</w:t>
      </w:r>
      <w:r>
        <w:rPr>
          <w:rFonts w:asciiTheme="majorEastAsia" w:eastAsiaTheme="majorEastAsia" w:hAnsiTheme="majorEastAsia"/>
          <w:szCs w:val="21"/>
        </w:rPr>
        <w:t>http://zfcg.szggzy.com/</w:t>
      </w:r>
      <w:r>
        <w:rPr>
          <w:rFonts w:asciiTheme="majorEastAsia" w:eastAsiaTheme="majorEastAsia" w:hAnsiTheme="majorEastAsia" w:hint="eastAsia"/>
          <w:szCs w:val="21"/>
        </w:rPr>
        <w:t>TPBidder/DownLoad/深圳市智慧采购平台投标文件制作专用软件.zip】。</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23.2投标人在使用《投标文件制作软件》编制投标书时须注意：</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23.2.1导入《投标文件制作软件》的招标文件项目编号、包号应与以此制作的投标文件项目编号、包号一致。例如，不能将甲项目A包的招标书导入《投标文件制作软件》，制作乙项目B包的投标书。</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23.2.2不能用非本公司的电子密钥加密本公司的投标文件，或者用其它公司的登录用户上传本公司的投标文件。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23.2.3要求用《投标文件制作软件》编制投标书的包，不能用其它方式编制投标书。编制投标文件时，电脑须连通互联网。</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23.2.4投标文件不能带病毒。采购代理机构将用专业杀毒软件对投标文件进行病毒检测，如果这两种软件均报告发现病毒，则采购代理机构认为该投标文件带病毒。</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23.2.5完整填写“投标关键信息”，如下图所示：</w:t>
      </w:r>
    </w:p>
    <w:p>
      <w:pPr>
        <w:tabs>
          <w:tab w:val="left" w:pos="0"/>
        </w:tabs>
        <w:spacing w:line="360" w:lineRule="auto"/>
        <w:rPr>
          <w:rFonts w:asciiTheme="majorEastAsia" w:eastAsiaTheme="majorEastAsia" w:hAnsiTheme="majorEastAsia"/>
          <w:szCs w:val="21"/>
        </w:rPr>
      </w:pPr>
      <w:r>
        <w:rPr>
          <w:rFonts w:asciiTheme="majorEastAsia" w:eastAsiaTheme="majorEastAsia" w:hAnsiTheme="majorEastAsia"/>
          <w:szCs w:val="21"/>
        </w:rPr>
        <w:drawing>
          <wp:inline distT="0" distB="0" distL="0" distR="0">
            <wp:extent cx="5278755" cy="2721610"/>
            <wp:effectExtent l="0" t="0" r="0" b="2540"/>
            <wp:docPr id="8"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b/>
          <w:szCs w:val="21"/>
        </w:rPr>
      </w:pPr>
      <w:r>
        <w:rPr>
          <w:rFonts w:asciiTheme="majorEastAsia" w:eastAsiaTheme="majorEastAsia" w:hAnsiTheme="majorEastAsia" w:hint="eastAsia"/>
          <w:b/>
          <w:szCs w:val="21"/>
        </w:rPr>
        <w:t>备注：上述“开标一览表”中的“投标总价”将作为价格分计算依据；其它信息仅是对投标文件相关内容的概括性表述，不作为评审依据。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23.2.6投标人在编辑投标文件时，</w:t>
      </w:r>
      <w:r>
        <w:rPr>
          <w:rFonts w:asciiTheme="majorEastAsia" w:eastAsiaTheme="majorEastAsia" w:hAnsiTheme="majorEastAsia" w:hint="eastAsia"/>
          <w:b/>
          <w:szCs w:val="21"/>
        </w:rPr>
        <w:t>在投标文件目录中属于本节点内容的必须在本节点中填写，填写到其他节点或附件，</w:t>
      </w:r>
      <w:r>
        <w:rPr>
          <w:rFonts w:asciiTheme="majorEastAsia" w:eastAsiaTheme="majorEastAsia" w:hAnsiTheme="majorEastAsia" w:hint="eastAsia"/>
          <w:szCs w:val="21"/>
        </w:rPr>
        <w:t>一切后果由供应商自行承担。</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23.2.7投标文件编写完成后，</w:t>
      </w:r>
      <w:r>
        <w:rPr>
          <w:rFonts w:asciiTheme="majorEastAsia" w:eastAsiaTheme="majorEastAsia" w:hAnsiTheme="majorEastAsia" w:hint="eastAsia"/>
          <w:b/>
          <w:szCs w:val="21"/>
        </w:rPr>
        <w:t>必须用属于投标人的电子密钥进行加密，否则视同未盖公章，将导致投标文件无效。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23.2.8采购代理机构不接受投标截止时间后递交的纸质、电子、传真等所有形式的投标文件。由于对网上政府采购系统操作不熟悉或自身电脑、网络等原因导致不能在投标截止时间之前上传投标文件，采购代理机构概不负责。建议于开标前一个工作日完成投标文件的制作与上传，如上传确有困难，请及时咨询。</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23.2.9如果开标时出现网络故障、技术故障，影响了政府采购活动，采购代理机构有权采取措施如延期、接受无法从网上上传的投标书等，以保障政府采购活动的公开、公平和公正。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23.3电报、电话、传真形式的投标概不接受。</w:t>
      </w:r>
    </w:p>
    <w:p>
      <w:pPr>
        <w:spacing w:line="360" w:lineRule="auto"/>
        <w:ind w:firstLine="412" w:firstLineChars="196"/>
        <w:rPr>
          <w:rFonts w:asciiTheme="majorEastAsia" w:eastAsiaTheme="majorEastAsia" w:hAnsiTheme="majorEastAsia"/>
          <w:b/>
          <w:szCs w:val="21"/>
        </w:rPr>
      </w:pPr>
      <w:r>
        <w:rPr>
          <w:rFonts w:asciiTheme="majorEastAsia" w:eastAsiaTheme="majorEastAsia" w:hAnsiTheme="majorEastAsia" w:hint="eastAsia"/>
          <w:b/>
          <w:szCs w:val="21"/>
        </w:rPr>
        <w:t>23.4经投标人电子密钥加密的投标文件无须盖章或签字，</w:t>
      </w:r>
      <w:r>
        <w:rPr>
          <w:rFonts w:asciiTheme="majorEastAsia" w:eastAsiaTheme="majorEastAsia" w:hAnsiTheme="majorEastAsia" w:hint="eastAsia"/>
          <w:szCs w:val="21"/>
        </w:rPr>
        <w:t>专用条款另有要求的除外。</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b/>
          <w:szCs w:val="21"/>
        </w:rPr>
        <w:t>23.5</w:t>
      </w:r>
      <w:r>
        <w:rPr>
          <w:rFonts w:asciiTheme="majorEastAsia" w:eastAsiaTheme="majorEastAsia" w:hAnsiTheme="majorEastAsia" w:hint="eastAsia"/>
          <w:szCs w:val="21"/>
        </w:rPr>
        <w:t xml:space="preserve"> 各类资格（资质）文件提供扫描件，专用条款另有要求的除外。</w:t>
      </w:r>
      <w:bookmarkEnd w:id="39"/>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投标文件的递交</w:t>
      </w:r>
      <w:bookmarkStart w:id="40" w:name="_Hlk72405459"/>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24．投标书的保密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drawing>
          <wp:inline distT="0" distB="0" distL="0" distR="0">
            <wp:extent cx="5278755" cy="2721610"/>
            <wp:effectExtent l="0" t="0" r="0" b="2540"/>
            <wp:docPr id="9"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在投标文件制作软件点击【生成标书】按钮进入【填写开标一览表界面】界面，在该界面填写完开标一览表信息后点击【确定】，进入投标文件生成环节。</w:t>
      </w:r>
      <w:r>
        <w:rPr>
          <w:rFonts w:asciiTheme="majorEastAsia" w:eastAsiaTheme="majorEastAsia" w:hAnsiTheme="majorEastAsia"/>
          <w:szCs w:val="21"/>
        </w:rPr>
        <w:drawing>
          <wp:inline distT="0" distB="0" distL="0" distR="0">
            <wp:extent cx="5278755" cy="2732405"/>
            <wp:effectExtent l="0" t="0" r="0" b="0"/>
            <wp:docPr id="12"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投标文件制作软件会在投标文件生成过程中，提示用户输入密码，输入密码后对标文件自动进行加密。</w:t>
      </w:r>
    </w:p>
    <w:p>
      <w:pPr>
        <w:spacing w:line="360" w:lineRule="auto"/>
        <w:ind w:firstLine="420" w:firstLineChars="200"/>
        <w:rPr>
          <w:rFonts w:asciiTheme="majorEastAsia" w:eastAsiaTheme="majorEastAsia" w:hAnsiTheme="majorEastAsia"/>
          <w:b/>
          <w:szCs w:val="21"/>
        </w:rPr>
      </w:pPr>
      <w:r>
        <w:rPr>
          <w:rFonts w:asciiTheme="majorEastAsia" w:eastAsiaTheme="majorEastAsia" w:hAnsiTheme="majorEastAsia" w:hint="eastAsia"/>
          <w:b/>
          <w:szCs w:val="21"/>
        </w:rPr>
        <w:t>24.2若采购项目出现延期情况：</w:t>
      </w:r>
    </w:p>
    <w:p>
      <w:pPr>
        <w:spacing w:line="360" w:lineRule="auto"/>
        <w:ind w:firstLine="420" w:firstLineChars="200"/>
        <w:rPr>
          <w:rFonts w:asciiTheme="majorEastAsia" w:eastAsiaTheme="majorEastAsia" w:hAnsiTheme="majorEastAsia"/>
          <w:b/>
          <w:szCs w:val="21"/>
        </w:rPr>
      </w:pPr>
      <w:r>
        <w:rPr>
          <w:rFonts w:asciiTheme="majorEastAsia" w:eastAsiaTheme="majorEastAsia" w:hAnsiTheme="majorEastAsia" w:hint="eastAsia"/>
          <w:b/>
          <w:szCs w:val="21"/>
        </w:rPr>
        <w:t>如果供下载的招标文件（后缀名为.</w:t>
      </w:r>
      <w:r>
        <w:rPr>
          <w:rFonts w:asciiTheme="majorEastAsia" w:eastAsiaTheme="majorEastAsia" w:hAnsiTheme="majorEastAsia"/>
          <w:b/>
          <w:szCs w:val="21"/>
        </w:rPr>
        <w:t>szczf</w:t>
      </w:r>
      <w:r>
        <w:rPr>
          <w:rFonts w:asciiTheme="majorEastAsia" w:eastAsiaTheme="majorEastAsia" w:hAnsiTheme="majorEastAsia" w:hint="eastAsia"/>
          <w:b/>
          <w:szCs w:val="21"/>
        </w:rPr>
        <w:t>）有更新，投标人必须重新下载招标文件、重新制作投标文件、重新加密投标文件、重新上传投标文件；如果供下载的招标文件（后缀名为.</w:t>
      </w:r>
      <w:r>
        <w:rPr>
          <w:rFonts w:asciiTheme="majorEastAsia" w:eastAsiaTheme="majorEastAsia" w:hAnsiTheme="majorEastAsia"/>
          <w:b/>
          <w:szCs w:val="21"/>
        </w:rPr>
        <w:t>szczf</w:t>
      </w:r>
      <w:r>
        <w:rPr>
          <w:rFonts w:asciiTheme="majorEastAsia" w:eastAsiaTheme="majorEastAsia" w:hAnsiTheme="majorEastAsia" w:hint="eastAsia"/>
          <w:b/>
          <w:szCs w:val="21"/>
        </w:rPr>
        <w:t>）没有更新，投标人必须重新加密投标文件、重新上传投标文件（是否重新制作投标文件根据项目实际情况定）。否则，投标人自行承担投标文件无法解密导致投标无效的后果。</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25．上传投标文件及投标截止日期</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w:t>
      </w:r>
      <w:r>
        <w:rPr>
          <w:rFonts w:asciiTheme="majorEastAsia" w:eastAsiaTheme="majorEastAsia" w:hAnsiTheme="majorEastAsia"/>
          <w:szCs w:val="21"/>
        </w:rPr>
        <w:t>.</w:t>
      </w:r>
      <w:r>
        <w:rPr>
          <w:rFonts w:asciiTheme="majorEastAsia" w:eastAsiaTheme="majorEastAsia" w:hAnsiTheme="majorEastAsia" w:hint="eastAsia"/>
          <w:szCs w:val="21"/>
        </w:rPr>
        <w:t>1实行网上投标，</w:t>
      </w:r>
      <w:r>
        <w:rPr>
          <w:rFonts w:asciiTheme="majorEastAsia" w:eastAsiaTheme="majorEastAsia" w:hAnsiTheme="majorEastAsia"/>
          <w:szCs w:val="21"/>
        </w:rPr>
        <w:t>投标人必须</w:t>
      </w:r>
      <w:r>
        <w:rPr>
          <w:rFonts w:asciiTheme="majorEastAsia" w:eastAsiaTheme="majorEastAsia" w:hAnsiTheme="majorEastAsia" w:hint="eastAsia"/>
          <w:szCs w:val="21"/>
        </w:rPr>
        <w:t>在招标</w:t>
      </w:r>
      <w:r>
        <w:rPr>
          <w:rFonts w:asciiTheme="majorEastAsia" w:eastAsiaTheme="majorEastAsia" w:hAnsiTheme="majorEastAsia"/>
          <w:szCs w:val="21"/>
        </w:rPr>
        <w:t>文件规定的投标截止时间前</w:t>
      </w:r>
      <w:r>
        <w:rPr>
          <w:rFonts w:asciiTheme="majorEastAsia" w:eastAsiaTheme="majorEastAsia" w:hAnsiTheme="majorEastAsia" w:hint="eastAsia"/>
          <w:szCs w:val="21"/>
        </w:rPr>
        <w:t>用电子密钥登录“深圳政府采购智慧平台用户网上办事子系统（http://zfcg.szggzy.com/TPBidder/memberLogin）”，用“【我的项目】→【项目流程】→【递交投标(应答)文件】”功能点上传投标文件。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25.2采购代理机构可以按本通用条款第13条规定，通过修改招标文件自行决定酌情延长投标截止期。在此情况下，采购代理机构、采购人和投标人受投标截止期制约的所有权利和义务均应延长至新的截止期。</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w:t>
      </w:r>
      <w:r>
        <w:rPr>
          <w:rFonts w:asciiTheme="majorEastAsia" w:eastAsiaTheme="majorEastAsia" w:hAnsiTheme="majorEastAsia"/>
          <w:szCs w:val="21"/>
        </w:rPr>
        <w:t>.</w:t>
      </w:r>
      <w:r>
        <w:rPr>
          <w:rFonts w:asciiTheme="majorEastAsia" w:eastAsiaTheme="majorEastAsia" w:hAnsiTheme="majorEastAsia" w:hint="eastAsia"/>
          <w:szCs w:val="21"/>
        </w:rPr>
        <w:t>3投标截止时间以后不得上传投标文件。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pPr>
        <w:spacing w:line="360" w:lineRule="auto"/>
        <w:rPr>
          <w:rFonts w:asciiTheme="majorEastAsia" w:eastAsiaTheme="majorEastAsia" w:hAnsiTheme="majorEastAsia"/>
          <w:b/>
          <w:bCs/>
          <w:szCs w:val="21"/>
        </w:rPr>
      </w:pPr>
      <w:bookmarkEnd w:id="40"/>
      <w:r>
        <w:rPr>
          <w:rFonts w:asciiTheme="majorEastAsia" w:eastAsiaTheme="majorEastAsia" w:hAnsiTheme="majorEastAsia" w:hint="eastAsia"/>
          <w:b/>
          <w:bCs/>
          <w:szCs w:val="21"/>
        </w:rPr>
        <w:t>26. 样品、现场演示、方案讲解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26.1 样品、现场演示、方案讲解等事项在招标文件专用条款中进行规定。</w:t>
      </w:r>
    </w:p>
    <w:p>
      <w:pPr>
        <w:spacing w:line="360" w:lineRule="auto"/>
        <w:rPr>
          <w:rFonts w:asciiTheme="majorEastAsia" w:eastAsiaTheme="majorEastAsia" w:hAnsiTheme="majorEastAsia"/>
          <w:b/>
          <w:bCs/>
          <w:szCs w:val="21"/>
        </w:rPr>
      </w:pPr>
      <w:bookmarkStart w:id="41" w:name="_Hlk72428346"/>
      <w:r>
        <w:rPr>
          <w:rFonts w:asciiTheme="majorEastAsia" w:eastAsiaTheme="majorEastAsia" w:hAnsiTheme="majorEastAsia"/>
          <w:b/>
          <w:bCs/>
          <w:szCs w:val="21"/>
        </w:rPr>
        <w:t>2</w:t>
      </w:r>
      <w:r>
        <w:rPr>
          <w:rFonts w:asciiTheme="majorEastAsia" w:eastAsiaTheme="majorEastAsia" w:hAnsiTheme="majorEastAsia" w:hint="eastAsia"/>
          <w:b/>
          <w:bCs/>
          <w:szCs w:val="21"/>
        </w:rPr>
        <w:t>7．</w:t>
      </w:r>
      <w:r>
        <w:rPr>
          <w:rFonts w:asciiTheme="majorEastAsia" w:eastAsiaTheme="majorEastAsia" w:hAnsiTheme="majorEastAsia"/>
          <w:b/>
          <w:bCs/>
          <w:szCs w:val="21"/>
        </w:rPr>
        <w:t>投标文件的修改和撤销</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1</w:t>
      </w:r>
      <w:r>
        <w:rPr>
          <w:rFonts w:asciiTheme="majorEastAsia" w:eastAsiaTheme="majorEastAsia" w:hAnsiTheme="majorEastAsia"/>
          <w:szCs w:val="21"/>
        </w:rPr>
        <w:t>投标方在提交投标文件后可对其投标文件进行修改</w:t>
      </w:r>
      <w:r>
        <w:rPr>
          <w:rFonts w:asciiTheme="majorEastAsia" w:eastAsiaTheme="majorEastAsia" w:hAnsiTheme="majorEastAsia" w:hint="eastAsia"/>
          <w:szCs w:val="21"/>
        </w:rPr>
        <w:t>并重新上传投标文件</w:t>
      </w:r>
      <w:r>
        <w:rPr>
          <w:rFonts w:asciiTheme="majorEastAsia" w:eastAsiaTheme="majorEastAsia" w:hAnsiTheme="majorEastAsia"/>
          <w:szCs w:val="21"/>
        </w:rPr>
        <w:t>或</w:t>
      </w:r>
      <w:r>
        <w:rPr>
          <w:rFonts w:asciiTheme="majorEastAsia" w:eastAsiaTheme="majorEastAsia" w:hAnsiTheme="majorEastAsia" w:hint="eastAsia"/>
          <w:szCs w:val="21"/>
        </w:rPr>
        <w:t>在网上进行</w:t>
      </w:r>
      <w:r>
        <w:rPr>
          <w:rFonts w:asciiTheme="majorEastAsia" w:eastAsiaTheme="majorEastAsia" w:hAnsiTheme="majorEastAsia"/>
          <w:szCs w:val="21"/>
        </w:rPr>
        <w:t>撤销</w:t>
      </w:r>
      <w:r>
        <w:rPr>
          <w:rFonts w:asciiTheme="majorEastAsia" w:eastAsiaTheme="majorEastAsia" w:hAnsiTheme="majorEastAsia" w:hint="eastAsia"/>
          <w:szCs w:val="21"/>
        </w:rPr>
        <w:t>投标的操作</w:t>
      </w:r>
      <w:r>
        <w:rPr>
          <w:rFonts w:asciiTheme="majorEastAsia" w:eastAsiaTheme="majorEastAsia" w:hAnsiTheme="major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2</w:t>
      </w:r>
      <w:r>
        <w:rPr>
          <w:rFonts w:asciiTheme="majorEastAsia" w:eastAsiaTheme="majorEastAsia" w:hAnsiTheme="majorEastAsia"/>
          <w:szCs w:val="21"/>
        </w:rPr>
        <w:t>投标截止时间以后不得修改投标文件。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7</w:t>
      </w:r>
      <w:r>
        <w:rPr>
          <w:rFonts w:asciiTheme="majorEastAsia" w:eastAsiaTheme="majorEastAsia" w:hAnsiTheme="majorEastAsia"/>
          <w:szCs w:val="21"/>
        </w:rPr>
        <w:t>.</w:t>
      </w:r>
      <w:r>
        <w:rPr>
          <w:rFonts w:asciiTheme="majorEastAsia" w:eastAsiaTheme="majorEastAsia" w:hAnsiTheme="majorEastAsia" w:hint="eastAsia"/>
          <w:szCs w:val="21"/>
        </w:rPr>
        <w:t>3从投标截止期至投标人在投标文件中确定的投标有效期之间的这段时间内，投标人不得撤回其投标。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27.4采购代理机构不退还投标文件，专用条款另有规定的除外。</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41"/>
      <w:r>
        <w:rPr>
          <w:rFonts w:asciiTheme="majorEastAsia" w:eastAsiaTheme="majorEastAsia" w:hAnsiTheme="majorEastAsia" w:hint="eastAsia"/>
          <w:b/>
          <w:bCs/>
          <w:kern w:val="0"/>
          <w:sz w:val="28"/>
          <w:szCs w:val="28"/>
        </w:rPr>
        <w:t>开标</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28．开标</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szCs w:val="21"/>
        </w:rPr>
        <w:t>2</w:t>
      </w:r>
      <w:r>
        <w:rPr>
          <w:rFonts w:asciiTheme="majorEastAsia" w:eastAsiaTheme="majorEastAsia" w:hAnsiTheme="majorEastAsia" w:hint="eastAsia"/>
          <w:szCs w:val="21"/>
        </w:rPr>
        <w:t>8</w:t>
      </w:r>
      <w:r>
        <w:rPr>
          <w:rFonts w:asciiTheme="majorEastAsia" w:eastAsiaTheme="majorEastAsia" w:hAnsiTheme="majorEastAsia"/>
          <w:szCs w:val="21"/>
        </w:rPr>
        <w:t>.</w:t>
      </w:r>
      <w:r>
        <w:rPr>
          <w:rFonts w:asciiTheme="majorEastAsia" w:eastAsiaTheme="majorEastAsia" w:hAnsiTheme="majorEastAsia" w:hint="eastAsia"/>
          <w:szCs w:val="21"/>
        </w:rPr>
        <w:t>1投标人须在开标当日的开标时间至解密截止时间内进行解密，逾期未解密的作无效处理。解密方法：登录“深圳政府采购智慧平台用户网上办事子系统（</w:t>
      </w:r>
      <w:r>
        <w:rPr>
          <w:rFonts w:asciiTheme="majorEastAsia" w:eastAsiaTheme="majorEastAsia" w:hAnsiTheme="majorEastAsia"/>
          <w:szCs w:val="21"/>
        </w:rPr>
        <w:t>http://zfcg.szggzy.com/</w:t>
      </w:r>
      <w:r>
        <w:rPr>
          <w:rFonts w:asciiTheme="majorEastAsia" w:eastAsiaTheme="majorEastAsia" w:hAnsiTheme="majorEastAsia" w:hint="eastAsia"/>
          <w:szCs w:val="21"/>
        </w:rPr>
        <w:t>TPBidder/memberLogin）”，使用本单位制作电子投标文件同一个电子密钥，在“【我的项目】→【项目流程】→【开标及解密】”进行在线解密、查询开标情况。</w:t>
      </w:r>
    </w:p>
    <w:p>
      <w:pPr>
        <w:spacing w:line="360" w:lineRule="auto"/>
        <w:ind w:firstLine="359" w:firstLineChars="171"/>
        <w:rPr>
          <w:rFonts w:asciiTheme="majorEastAsia" w:eastAsiaTheme="majorEastAsia" w:hAnsiTheme="majorEastAsia"/>
          <w:szCs w:val="21"/>
        </w:rPr>
      </w:pPr>
      <w:r>
        <w:rPr>
          <w:rFonts w:asciiTheme="majorEastAsia" w:eastAsiaTheme="majorEastAsia" w:hAnsiTheme="majorEastAsia" w:hint="eastAsia"/>
          <w:szCs w:val="21"/>
        </w:rPr>
        <w:t>2</w:t>
      </w:r>
      <w:r>
        <w:rPr>
          <w:rFonts w:asciiTheme="majorEastAsia" w:eastAsiaTheme="majorEastAsia" w:hAnsiTheme="majorEastAsia"/>
          <w:szCs w:val="21"/>
        </w:rPr>
        <w:t xml:space="preserve">8.2 </w:t>
      </w:r>
      <w:r>
        <w:rPr>
          <w:rFonts w:asciiTheme="majorEastAsia" w:eastAsiaTheme="majorEastAsia" w:hAnsiTheme="majorEastAsia" w:hint="eastAsia"/>
          <w:szCs w:val="21"/>
        </w:rPr>
        <w:t>采购代理机构将在满足开标条件（</w:t>
      </w:r>
      <w:r>
        <w:rPr>
          <w:rFonts w:asciiTheme="majorEastAsia" w:eastAsiaTheme="majorEastAsia" w:hAnsiTheme="majorEastAsia" w:cs="宋体" w:hint="eastAsia"/>
          <w:color w:val="333333"/>
          <w:szCs w:val="21"/>
          <w:shd w:val="clear" w:color="auto" w:fill="FFFFFF"/>
        </w:rPr>
        <w:t>①</w:t>
      </w:r>
      <w:r>
        <w:rPr>
          <w:rFonts w:asciiTheme="majorEastAsia" w:eastAsiaTheme="majorEastAsia" w:hAnsiTheme="majorEastAsia" w:hint="eastAsia"/>
          <w:szCs w:val="21"/>
        </w:rPr>
        <w:t>解密时间结束，解密后的投标供应商数量满足开标要求或</w:t>
      </w:r>
      <w:r>
        <w:rPr>
          <w:rFonts w:asciiTheme="majorEastAsia" w:eastAsiaTheme="majorEastAsia" w:hAnsiTheme="majorEastAsia" w:cs="宋体" w:hint="eastAsia"/>
          <w:color w:val="333333"/>
          <w:szCs w:val="21"/>
          <w:shd w:val="clear" w:color="auto" w:fill="FFFFFF"/>
        </w:rPr>
        <w:t>②</w:t>
      </w:r>
      <w:r>
        <w:rPr>
          <w:rFonts w:asciiTheme="majorEastAsia" w:eastAsiaTheme="majorEastAsia" w:hAnsiTheme="majorEastAsia" w:hint="eastAsia"/>
          <w:szCs w:val="21"/>
        </w:rPr>
        <w:t>解密时间结束前所有投标供应商均完成投标文件解密）后，对投标文件进行开标，并在网上公布开标结果。</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评审要求</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29．评审委员会组成</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29.1网上开标结束后召开评审会议，评审委员会由采购代理机构依法组建，负责评审活动。</w:t>
      </w:r>
    </w:p>
    <w:p>
      <w:pPr>
        <w:spacing w:line="360" w:lineRule="auto"/>
        <w:ind w:firstLine="412" w:firstLineChars="196"/>
        <w:rPr>
          <w:rFonts w:asciiTheme="majorEastAsia" w:eastAsiaTheme="majorEastAsia" w:hAnsiTheme="majorEastAsia"/>
          <w:szCs w:val="21"/>
        </w:rPr>
      </w:pPr>
      <w:bookmarkStart w:id="42" w:name="_Hlk72436580"/>
      <w:r>
        <w:rPr>
          <w:rFonts w:asciiTheme="majorEastAsia" w:eastAsiaTheme="majorEastAsia" w:hAnsiTheme="majorEastAsia" w:hint="eastAsia"/>
          <w:szCs w:val="21"/>
        </w:rPr>
        <w:t>评审委员会由采购人代表和评审专家组成，成员人数应当为5人以上单数（部分条件下为7人以上单数），其中评审专家不得少于成员总数的三分之二。</w:t>
      </w:r>
      <w:bookmarkEnd w:id="42"/>
      <w:r>
        <w:rPr>
          <w:rFonts w:asciiTheme="majorEastAsia" w:eastAsiaTheme="majorEastAsia" w:hAnsiTheme="majorEastAsia" w:hint="eastAsia"/>
          <w:szCs w:val="21"/>
        </w:rPr>
        <w:t>评定分离项目</w:t>
      </w:r>
      <w:r>
        <w:rPr>
          <w:rFonts w:asciiTheme="majorEastAsia" w:eastAsiaTheme="majorEastAsia" w:hAnsiTheme="majorEastAsia"/>
          <w:szCs w:val="21"/>
        </w:rPr>
        <w:t>评审专家</w:t>
      </w:r>
      <w:r>
        <w:rPr>
          <w:rFonts w:asciiTheme="majorEastAsia" w:eastAsiaTheme="majorEastAsia" w:hAnsiTheme="majorEastAsia" w:hint="eastAsia"/>
          <w:szCs w:val="21"/>
        </w:rPr>
        <w:t>均</w:t>
      </w:r>
      <w:r>
        <w:rPr>
          <w:rFonts w:asciiTheme="majorEastAsia" w:eastAsiaTheme="majorEastAsia" w:hAnsiTheme="majorEastAsia"/>
          <w:szCs w:val="21"/>
        </w:rPr>
        <w:t>由</w:t>
      </w:r>
      <w:r>
        <w:rPr>
          <w:rFonts w:asciiTheme="majorEastAsia" w:eastAsiaTheme="majorEastAsia" w:hAnsiTheme="majorEastAsia" w:hint="eastAsia"/>
          <w:szCs w:val="21"/>
        </w:rPr>
        <w:t>评审专家组成。评审专家一般是从深圳市政府采购评审专家库中随机抽取。采购人代表须持本单位签发的《评审授权书》参加评审。</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29.2评审定标应当遵循公平、公正、科学、择优的原则。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29.3评审活动依法进行，任何单位和个人不得非法干预评标过程和结果。</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29.4评审过程中不允许违背评标程序或采用招标文件未载明的评标方法或评标因素进行评标。</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29.5 开标后，直到签订合同为止，凡属于对投标文件的审查、澄清、评价和比较的有关资料以及中标候选人的推荐情况、与评审有关的其他任何情况均严格保密（</w:t>
      </w:r>
      <w:r>
        <w:rPr>
          <w:rFonts w:asciiTheme="majorEastAsia" w:eastAsiaTheme="majorEastAsia" w:hAnsiTheme="majorEastAsia" w:hint="eastAsia"/>
          <w:szCs w:val="21"/>
        </w:rPr>
        <w:t>信息公开的内容除外</w:t>
      </w:r>
      <w:r>
        <w:rPr>
          <w:rFonts w:asciiTheme="majorEastAsia" w:eastAsiaTheme="majorEastAsia" w:hAnsiTheme="majorEastAsia" w:hint="eastAsia"/>
          <w:bCs/>
          <w:szCs w:val="21"/>
        </w:rPr>
        <w:t>）。</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30．向评审委员会提供的资料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30.1公开发布的招标文件，包括图纸、服务清单、答疑文件等；</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30.2其他评标必须的资料。</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30.3评审委员会应当认真研究招标文件，至少应了解熟悉以下内容：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（1）招标的目的；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（2）招标项目需求的范围和性质；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（3）招标文件规定的投标人的资格、财政预算限额、商务条款；</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（4）招标文件规定的评标程序、评标方法和评标因素；</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（5）招标文件所列示的资格性审查表及符合性审查表。</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31．独立评审</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w:t>
      </w:r>
      <w:r>
        <w:rPr>
          <w:rFonts w:asciiTheme="majorEastAsia" w:eastAsiaTheme="majorEastAsia" w:hAnsiTheme="majorEastAsia"/>
          <w:bCs/>
          <w:szCs w:val="21"/>
        </w:rPr>
        <w:t>1</w:t>
      </w:r>
      <w:r>
        <w:rPr>
          <w:rFonts w:asciiTheme="majorEastAsia" w:eastAsiaTheme="majorEastAsia" w:hAnsiTheme="majorEastAsia" w:hint="eastAsia"/>
          <w:bCs/>
          <w:szCs w:val="21"/>
        </w:rPr>
        <w:t>.1</w:t>
      </w:r>
      <w:r>
        <w:rPr>
          <w:rFonts w:asciiTheme="majorEastAsia" w:eastAsiaTheme="majorEastAsia" w:hAnsiTheme="majorEastAsia" w:hint="eastAsia"/>
          <w:szCs w:val="21"/>
        </w:rPr>
        <w:t>评审委员会</w:t>
      </w:r>
      <w:r>
        <w:rPr>
          <w:rFonts w:asciiTheme="majorEastAsia" w:eastAsiaTheme="majorEastAsia" w:hAnsiTheme="majorEastAsia" w:hint="eastAsia"/>
          <w:bCs/>
          <w:szCs w:val="21"/>
        </w:rPr>
        <w:t>成员的评标活动应当独立进行，并应遵循投标文件初审、澄清有关问题、比较与评价、确定中标供应商、编写评审报告的工作程序。</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评审程序及评审方法</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32．投标文件初审</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32.1投标文件初审包括资格性审查和符合性审查。</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资格性审查：依据法律法规和招标文件的规定，对投标文件中的资格证明等进行审查，以确定投标供应商是否具备投标资格。</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符合性审查：依据招标文件的规定，对投标文件的有效性、完整性和对招标文件的响应程度进行审查，以确定是否满足符合性审查的要求。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32.2 投标文件初审内容请详见《资格性审查表》和《符合性审查表》部分。投标人若有一条审查不通过则按投标无效处理。</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 投标文件初审中关于供应商家数的计算:</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spacing w:line="360" w:lineRule="auto"/>
        <w:ind w:firstLine="412" w:firstLineChars="196"/>
        <w:rPr>
          <w:rFonts w:asciiTheme="majorEastAsia" w:eastAsiaTheme="majorEastAsia" w:hAnsiTheme="majorEastAsia"/>
          <w:bCs/>
          <w:szCs w:val="21"/>
        </w:rPr>
      </w:pPr>
      <w:r>
        <w:rPr>
          <w:rFonts w:asciiTheme="majorEastAsia" w:eastAsiaTheme="majorEastAsia" w:hAnsiTheme="majorEastAsia" w:hint="eastAsia"/>
          <w:bCs/>
          <w:szCs w:val="21"/>
        </w:rPr>
        <w:t>32.3.3非单一产品采购项目，采购人应当根据采购项目技术构成、产品价格比重等合理确定核心产品，并在招标文件中载明。多家投标人提供的核心产品品牌相同的，按前两款规定处理。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32.4投标人投标文件作无效处理的情形，具体包括但不限于以下：</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32.4.1不同投标人的投标文件由同一单位或者同一个人编制，或者由同一个人分阶段参与编制；</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32.4.</w:t>
      </w:r>
      <w:r>
        <w:rPr>
          <w:rFonts w:asciiTheme="majorEastAsia" w:eastAsiaTheme="majorEastAsia" w:hAnsiTheme="majorEastAsia" w:hint="eastAsia"/>
          <w:szCs w:val="21"/>
        </w:rPr>
        <w:t>2不同投标人委托同一单位或者个人办理投标事宜；</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32.4.3不同投标人的投标文件载明的项目管理成员或者联系人员为同一人；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32.4.4不同投标人的投标文件异常一致或者投标报价呈规律性差异；</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32.4.5</w:t>
      </w:r>
      <w:r>
        <w:rPr>
          <w:rFonts w:asciiTheme="majorEastAsia" w:eastAsiaTheme="majorEastAsia" w:hAnsiTheme="majorEastAsia"/>
          <w:szCs w:val="21"/>
        </w:rPr>
        <w:t>不同投标供应商的投标文件或部分投标文件相互混装</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32.4.6投标供应商之间相互约定给予未中标的供应商利益补偿；</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32.4.7不同投标供应商的法定代表人、主要经营负责人、项目投标授权代表人、项目负责人、主要技术人员为同一人、属同一单位或者同一单位缴纳社会保险；</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32.4.8不同投标供应商的投标文件内容存在非正常一致；</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32.4.9在同一单位工作人员为两家以上（含两家）供应商进行同一项投标活动；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32.4.10主管部门依照法律、法规认定的其他情形。</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32.5对不属于《资格性审查表》和《符合性审查表》所列的其他情形，除专用条款另有规定和32.4条款所列情形外，不得作为投标无效的理由。</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33．澄清有关问题</w:t>
      </w:r>
    </w:p>
    <w:p>
      <w:pPr>
        <w:spacing w:line="360" w:lineRule="auto"/>
        <w:ind w:firstLine="412" w:firstLineChars="196"/>
        <w:rPr>
          <w:rFonts w:asciiTheme="majorEastAsia" w:eastAsiaTheme="majorEastAsia" w:hAnsiTheme="majorEastAsia"/>
          <w:szCs w:val="21"/>
        </w:rPr>
      </w:pPr>
      <w:bookmarkStart w:id="43" w:name="_Hlk71407321"/>
      <w:r>
        <w:rPr>
          <w:rFonts w:asciiTheme="majorEastAsia" w:eastAsiaTheme="majorEastAsia" w:hAnsiTheme="majorEastAsia" w:hint="eastAsia"/>
          <w:szCs w:val="21"/>
        </w:rPr>
        <w:t>3</w:t>
      </w:r>
      <w:r>
        <w:rPr>
          <w:rFonts w:asciiTheme="majorEastAsia" w:eastAsiaTheme="majorEastAsia" w:hAnsiTheme="majorEastAsia"/>
          <w:szCs w:val="21"/>
        </w:rPr>
        <w:t>3.1</w:t>
      </w:r>
      <w:r>
        <w:rPr>
          <w:rFonts w:asciiTheme="majorEastAsia" w:eastAsiaTheme="majorEastAsia" w:hAnsiTheme="majorEastAsia" w:hint="eastAsia"/>
          <w:szCs w:val="21"/>
        </w:rPr>
        <w:t>对招标文件中描述有歧义或前后不一致的地方（不含</w:t>
      </w:r>
      <w:r>
        <w:rPr>
          <w:rFonts w:asciiTheme="majorEastAsia" w:eastAsiaTheme="majorEastAsia" w:hAnsiTheme="majorEastAsia"/>
          <w:szCs w:val="21"/>
        </w:rPr>
        <w:t>招标文件存在歧义、重大缺陷导致评</w:t>
      </w:r>
      <w:r>
        <w:rPr>
          <w:rFonts w:asciiTheme="majorEastAsia" w:eastAsiaTheme="majorEastAsia" w:hAnsiTheme="majorEastAsia" w:hint="eastAsia"/>
          <w:szCs w:val="21"/>
        </w:rPr>
        <w:t>审</w:t>
      </w:r>
      <w:r>
        <w:rPr>
          <w:rFonts w:asciiTheme="majorEastAsia" w:eastAsiaTheme="majorEastAsia" w:hAnsiTheme="majorEastAsia"/>
          <w:szCs w:val="21"/>
        </w:rPr>
        <w:t>工作无法进行</w:t>
      </w:r>
      <w:r>
        <w:rPr>
          <w:rFonts w:asciiTheme="majorEastAsia" w:eastAsiaTheme="majorEastAsia" w:hAnsiTheme="majorEastAsia" w:hint="eastAsia"/>
          <w:szCs w:val="21"/>
        </w:rPr>
        <w:t>的情况），评审委员会有权进行评判，但对同一条款的评判应适用于每个投标人。</w:t>
      </w:r>
      <w:bookmarkEnd w:id="43"/>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w:t>
      </w:r>
      <w:r>
        <w:rPr>
          <w:rFonts w:asciiTheme="majorEastAsia" w:eastAsiaTheme="majorEastAsia" w:hAnsiTheme="majorEastAsia"/>
          <w:szCs w:val="21"/>
        </w:rPr>
        <w:t>3.2评</w:t>
      </w:r>
      <w:r>
        <w:rPr>
          <w:rFonts w:asciiTheme="majorEastAsia" w:eastAsiaTheme="majorEastAsia" w:hAnsiTheme="majorEastAsia" w:hint="eastAsia"/>
          <w:szCs w:val="21"/>
        </w:rPr>
        <w:t>审</w:t>
      </w:r>
      <w:r>
        <w:rPr>
          <w:rFonts w:asciiTheme="majorEastAsia" w:eastAsiaTheme="majorEastAsia" w:hAnsiTheme="majorEastAsia"/>
          <w:szCs w:val="21"/>
        </w:rPr>
        <w:t>委员会发现招标文件存在歧义、重大缺陷导致评</w:t>
      </w:r>
      <w:r>
        <w:rPr>
          <w:rFonts w:asciiTheme="majorEastAsia" w:eastAsiaTheme="majorEastAsia" w:hAnsiTheme="majorEastAsia" w:hint="eastAsia"/>
          <w:szCs w:val="21"/>
        </w:rPr>
        <w:t>审</w:t>
      </w:r>
      <w:r>
        <w:rPr>
          <w:rFonts w:asciiTheme="majorEastAsia" w:eastAsiaTheme="majorEastAsia" w:hAnsiTheme="majorEastAsia"/>
          <w:szCs w:val="21"/>
        </w:rPr>
        <w:t>工作无法进行，或者招标文件内容违反国家有关强制性规定的，应当停止评</w:t>
      </w:r>
      <w:r>
        <w:rPr>
          <w:rFonts w:asciiTheme="majorEastAsia" w:eastAsiaTheme="majorEastAsia" w:hAnsiTheme="majorEastAsia" w:hint="eastAsia"/>
          <w:szCs w:val="21"/>
        </w:rPr>
        <w:t>审</w:t>
      </w:r>
      <w:r>
        <w:rPr>
          <w:rFonts w:asciiTheme="majorEastAsia" w:eastAsiaTheme="majorEastAsia" w:hAnsiTheme="majorEastAsia"/>
          <w:szCs w:val="21"/>
        </w:rPr>
        <w:t>工作，与</w:t>
      </w:r>
      <w:r>
        <w:rPr>
          <w:rFonts w:asciiTheme="majorEastAsia" w:eastAsiaTheme="majorEastAsia" w:hAnsiTheme="majorEastAsia" w:hint="eastAsia"/>
          <w:szCs w:val="21"/>
        </w:rPr>
        <w:t>采购代理机构</w:t>
      </w:r>
      <w:r>
        <w:rPr>
          <w:rFonts w:asciiTheme="majorEastAsia" w:eastAsiaTheme="majorEastAsia" w:hAnsiTheme="majorEastAsia"/>
          <w:szCs w:val="21"/>
        </w:rPr>
        <w:t>沟通并作书面记录。</w:t>
      </w:r>
      <w:r>
        <w:rPr>
          <w:rFonts w:asciiTheme="majorEastAsia" w:eastAsiaTheme="majorEastAsia" w:hAnsiTheme="majorEastAsia" w:hint="eastAsia"/>
          <w:szCs w:val="21"/>
        </w:rPr>
        <w:t>经</w:t>
      </w:r>
      <w:r>
        <w:rPr>
          <w:rFonts w:asciiTheme="majorEastAsia" w:eastAsiaTheme="majorEastAsia" w:hAnsiTheme="majorEastAsia"/>
          <w:szCs w:val="21"/>
        </w:rPr>
        <w:t>确认后，</w:t>
      </w:r>
      <w:r>
        <w:rPr>
          <w:rFonts w:asciiTheme="majorEastAsia" w:eastAsiaTheme="majorEastAsia" w:hAnsiTheme="majorEastAsia" w:hint="eastAsia"/>
          <w:szCs w:val="21"/>
        </w:rPr>
        <w:t>项目</w:t>
      </w:r>
      <w:r>
        <w:rPr>
          <w:rFonts w:asciiTheme="majorEastAsia" w:eastAsiaTheme="majorEastAsia" w:hAnsiTheme="majorEastAsia"/>
          <w:szCs w:val="21"/>
        </w:rPr>
        <w:t>应当修改招标文件，重新组织采购活动。</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33.3</w:t>
      </w:r>
      <w:r>
        <w:rPr>
          <w:rFonts w:asciiTheme="majorEastAsia" w:eastAsiaTheme="majorEastAsia" w:hAnsiTheme="majorEastAsia" w:hint="eastAsia"/>
          <w:szCs w:val="21"/>
        </w:rPr>
        <w:t>对于投标文件中含义不明确、同类问题表述不一致或者有明显文字和计算错误的内容，评审委员会应当以书面形式要求投标人作出必要的澄清、说明或者补正。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根据本通用条款第34条，凡属于评审委员会在评审中发现的算术错误进行核实的修改不在此列。</w:t>
      </w:r>
    </w:p>
    <w:p>
      <w:pPr>
        <w:spacing w:line="360" w:lineRule="auto"/>
        <w:rPr>
          <w:rFonts w:asciiTheme="majorEastAsia" w:eastAsiaTheme="majorEastAsia" w:hAnsiTheme="majorEastAsia"/>
          <w:b/>
          <w:bCs/>
          <w:szCs w:val="21"/>
        </w:rPr>
      </w:pPr>
      <w:bookmarkStart w:id="44" w:name="_Toc73521581"/>
      <w:bookmarkStart w:id="45" w:name="_Toc73518151"/>
      <w:bookmarkStart w:id="46" w:name="_Toc73517673"/>
      <w:bookmarkStart w:id="47" w:name="_Toc100052400"/>
      <w:bookmarkStart w:id="48" w:name="_Toc73521669"/>
      <w:r>
        <w:rPr>
          <w:rFonts w:asciiTheme="majorEastAsia" w:eastAsiaTheme="majorEastAsia" w:hAnsiTheme="majorEastAsia" w:hint="eastAsia"/>
          <w:b/>
          <w:bCs/>
          <w:szCs w:val="21"/>
        </w:rPr>
        <w:t>34．错误的修正</w:t>
      </w:r>
      <w:bookmarkEnd w:id="44"/>
      <w:bookmarkEnd w:id="45"/>
      <w:bookmarkEnd w:id="46"/>
      <w:bookmarkEnd w:id="47"/>
      <w:bookmarkEnd w:id="48"/>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投标文件报价出现前后不一致的，除专用条款另有规定外，按照下列规定修正：</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34.1投标文件中开标一览表投标报价内容与投标文件中投标报价相应内容不一致的，以开标一览表为准；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34.2大写金额和小写金额不一致的，以大写金额为准；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34.3单价金额小数点或者百分比有明显错位，以开标一览表的总价为准，并修改单价；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34.4总价金额与按单价汇总金额不一致的，以单价金额计算结果为准。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34.5同时出现两种以上不一致的，按照前款规定的顺序修正。修正后的报价按照本通用条款33条的规定，经投标人确认后产生约束力，投标人不确认的，其投标无效。</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35．投标文件的比较与评价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评审委员会成员对需要共同认定的事项存在争议的，应当按照少数服从多数的原则作出结论。持不同意见的评审委员会成员应当书面作出说明，否则视为无异议。</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36. 实地考察或资料查验</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36.1在评审过程中，评审委员会有权决定是否对本项目投标人进行实地考察或资料查验（原件）。投标人应随时做好接受实地考察或资料查验的准备。</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37．评审方法</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37.1.1最低价法</w:t>
      </w:r>
    </w:p>
    <w:p>
      <w:pPr>
        <w:spacing w:line="360" w:lineRule="auto"/>
        <w:ind w:firstLine="412" w:firstLineChars="196"/>
        <w:rPr>
          <w:rFonts w:asciiTheme="majorEastAsia" w:eastAsiaTheme="majorEastAsia" w:hAnsiTheme="majorEastAsia"/>
          <w:szCs w:val="21"/>
        </w:rPr>
      </w:pPr>
      <w:bookmarkStart w:id="49" w:name="_Hlk72438142"/>
      <w:r>
        <w:rPr>
          <w:rFonts w:asciiTheme="majorEastAsia" w:eastAsiaTheme="majorEastAsia" w:hAnsiTheme="majorEastAsia"/>
          <w:szCs w:val="21"/>
        </w:rPr>
        <w:t>最低价法，是指</w:t>
      </w:r>
      <w:r>
        <w:rPr>
          <w:rFonts w:asciiTheme="majorEastAsia" w:eastAsiaTheme="majorEastAsia" w:hAnsiTheme="majorEastAsia" w:hint="eastAsia"/>
          <w:szCs w:val="21"/>
        </w:rPr>
        <w:t>完全</w:t>
      </w:r>
      <w:r>
        <w:rPr>
          <w:rFonts w:asciiTheme="majorEastAsia" w:eastAsiaTheme="majorEastAsia" w:hAnsiTheme="majorEastAsia"/>
          <w:szCs w:val="21"/>
        </w:rPr>
        <w:t>满足招标文件实质性要求，</w:t>
      </w:r>
      <w:r>
        <w:rPr>
          <w:rFonts w:asciiTheme="majorEastAsia" w:eastAsiaTheme="majorEastAsia" w:hAnsiTheme="majorEastAsia" w:hint="eastAsia"/>
          <w:szCs w:val="21"/>
        </w:rPr>
        <w:t>按照报价由低到高的顺序，依据招标文件中规定的数量或者比例推荐候选中标供应商。</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37.1.2综合评分法</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综合评分法，是指</w:t>
      </w:r>
      <w:r>
        <w:rPr>
          <w:rFonts w:asciiTheme="majorEastAsia" w:eastAsiaTheme="majorEastAsia" w:hAnsiTheme="majorEastAsia" w:hint="eastAsia"/>
          <w:szCs w:val="21"/>
        </w:rPr>
        <w:t>在</w:t>
      </w:r>
      <w:r>
        <w:rPr>
          <w:rFonts w:asciiTheme="majorEastAsia" w:eastAsiaTheme="majorEastAsia" w:hAnsiTheme="majorEastAsia"/>
          <w:szCs w:val="21"/>
        </w:rPr>
        <w:t>满足招标文件全部实质性要求</w:t>
      </w:r>
      <w:r>
        <w:rPr>
          <w:rFonts w:asciiTheme="majorEastAsia" w:eastAsiaTheme="majorEastAsia" w:hAnsiTheme="majorEastAsia" w:hint="eastAsia"/>
          <w:szCs w:val="21"/>
        </w:rPr>
        <w:t>的前提下</w:t>
      </w:r>
      <w:r>
        <w:rPr>
          <w:rFonts w:asciiTheme="majorEastAsia" w:eastAsiaTheme="majorEastAsia" w:hAnsiTheme="majorEastAsia"/>
          <w:szCs w:val="21"/>
        </w:rPr>
        <w:t>，</w:t>
      </w:r>
      <w:r>
        <w:rPr>
          <w:rFonts w:asciiTheme="majorEastAsia" w:eastAsiaTheme="majorEastAsia" w:hAnsiTheme="majorEastAsia" w:hint="eastAsia"/>
          <w:szCs w:val="21"/>
        </w:rPr>
        <w:t>按照招标文件中规定的各项因素进行综合评审，评审总得分排名前列的投标人，作为推荐的候选中标供应商。</w:t>
      </w:r>
      <w:bookmarkEnd w:id="49"/>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37.2 本项目采用的评审方法见本项目招标文件第一册“专用条款”的相关内容。</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37.3重新评审的情形</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cs="宋体" w:hint="eastAsia"/>
          <w:szCs w:val="21"/>
        </w:rPr>
        <w:t>评审结果汇总完成后，除下列情形外，任何人不得修改评审结果：</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37.3.1分值汇总计算错误的；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37.3.2分项评分超出评分标准范围的；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37.3.3评审委员会成员对客观评审因素评分不一致的；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37.3.4经评审委员会认定评分畸高、畸低的。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投标人对本条第一款情形提出质疑的，采购人或者采购代理机构可以组织原评审委员会进行重新评审，重新评审改变评审结果的，应当书面报告本级财政部门。</w:t>
      </w:r>
    </w:p>
    <w:p>
      <w:pPr>
        <w:spacing w:line="360" w:lineRule="auto"/>
        <w:ind w:firstLine="412" w:firstLineChars="196"/>
        <w:rPr>
          <w:rFonts w:asciiTheme="majorEastAsia" w:eastAsiaTheme="majorEastAsia" w:hAnsiTheme="majorEastAsia"/>
          <w:b/>
          <w:bCs/>
          <w:szCs w:val="21"/>
        </w:rPr>
      </w:pPr>
      <w:r>
        <w:rPr>
          <w:rFonts w:asciiTheme="majorEastAsia" w:eastAsiaTheme="majorEastAsia" w:hAnsiTheme="majorEastAsia" w:hint="eastAsia"/>
          <w:b/>
          <w:bCs/>
          <w:szCs w:val="21"/>
        </w:rPr>
        <w:t xml:space="preserve"> 37.4重新组建评审委员会的情形</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评审委员会或者其成员存在下列情形导致评审结果无效的，重新组建评审委员会进行评标，并书面报告本级财政部门：</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37.4.1评审委员会组成不符合《政府采购货物和服务招标投标管理办法》规定的；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37.4.2有《政府采购货物和服务招标投标管理办法》第六十二条第一至五项情形的；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37.4.3评审委员会及其成员独立评标受到非法干预的；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37.4.4有政府采购法实施条例第七十五条规定的违法行为的。</w:t>
      </w:r>
    </w:p>
    <w:p>
      <w:pPr>
        <w:spacing w:line="360" w:lineRule="auto"/>
        <w:ind w:firstLine="412" w:firstLineChars="196"/>
        <w:rPr>
          <w:rFonts w:asciiTheme="majorEastAsia" w:eastAsiaTheme="majorEastAsia" w:hAnsiTheme="majorEastAsia" w:cs="宋体"/>
          <w:szCs w:val="21"/>
        </w:rPr>
      </w:pPr>
      <w:r>
        <w:rPr>
          <w:rFonts w:asciiTheme="majorEastAsia" w:eastAsiaTheme="majorEastAsia" w:hAnsiTheme="majorEastAsia" w:cs="宋体" w:hint="eastAsia"/>
          <w:szCs w:val="21"/>
        </w:rPr>
        <w:t>有违法违规行为的原评审委员会成员不得参加重新组建的评审委员会。</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r>
        <w:rPr>
          <w:rFonts w:asciiTheme="majorEastAsia" w:eastAsiaTheme="majorEastAsia" w:hAnsiTheme="majorEastAsia" w:hint="eastAsia"/>
          <w:b/>
          <w:bCs/>
          <w:kern w:val="0"/>
          <w:sz w:val="28"/>
          <w:szCs w:val="28"/>
        </w:rPr>
        <w:t>定标及公示</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38．定标方法</w:t>
      </w:r>
    </w:p>
    <w:p>
      <w:pPr>
        <w:spacing w:line="360" w:lineRule="auto"/>
        <w:ind w:firstLine="412" w:firstLineChars="196"/>
        <w:rPr>
          <w:rFonts w:asciiTheme="majorEastAsia" w:eastAsiaTheme="majorEastAsia" w:hAnsiTheme="majorEastAsia"/>
          <w:szCs w:val="21"/>
        </w:rPr>
      </w:pPr>
      <w:bookmarkStart w:id="50" w:name="_Hlk73782795"/>
      <w:r>
        <w:rPr>
          <w:rFonts w:asciiTheme="majorEastAsia" w:eastAsiaTheme="majorEastAsia" w:hAnsiTheme="majorEastAsia" w:hint="eastAsia"/>
          <w:szCs w:val="21"/>
        </w:rPr>
        <w:t>38.1非评定分离项目定标方法</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1.1评审委员会依据本项目招标文件所约定的评审方法进行评审和比较，向采购代理机构提交书面评审报告，并根据评审方法比较评价结果从优到劣进行排序，确定候选中标供应商。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1.2</w:t>
      </w:r>
      <w:r>
        <w:rPr>
          <w:rFonts w:asciiTheme="majorEastAsia" w:eastAsiaTheme="majorEastAsia" w:hAnsiTheme="majorEastAsia"/>
          <w:szCs w:val="21"/>
        </w:rPr>
        <w:t>采用最低价法的，评</w:t>
      </w:r>
      <w:r>
        <w:rPr>
          <w:rFonts w:asciiTheme="majorEastAsia" w:eastAsiaTheme="majorEastAsia" w:hAnsiTheme="majorEastAsia" w:hint="eastAsia"/>
          <w:szCs w:val="21"/>
        </w:rPr>
        <w:t>审</w:t>
      </w:r>
      <w:r>
        <w:rPr>
          <w:rFonts w:asciiTheme="majorEastAsia" w:eastAsiaTheme="majorEastAsia" w:hAnsiTheme="majorEastAsia"/>
          <w:szCs w:val="21"/>
        </w:rPr>
        <w:t>结果按投标报价由低到高顺序排列。投标报价相同的并列。投标文件满足招标文件全部实质性要求且投标报价最低的</w:t>
      </w:r>
      <w:r>
        <w:rPr>
          <w:rFonts w:asciiTheme="majorEastAsia" w:eastAsiaTheme="majorEastAsia" w:hAnsiTheme="majorEastAsia" w:hint="eastAsia"/>
          <w:szCs w:val="21"/>
        </w:rPr>
        <w:t>投标人为</w:t>
      </w:r>
      <w:bookmarkStart w:id="51" w:name="_Hlk73821177"/>
      <w:r>
        <w:rPr>
          <w:rFonts w:asciiTheme="majorEastAsia" w:eastAsiaTheme="majorEastAsia" w:hAnsiTheme="majorEastAsia" w:hint="eastAsia"/>
          <w:szCs w:val="21"/>
        </w:rPr>
        <w:t>中标供应商</w:t>
      </w:r>
      <w:r>
        <w:rPr>
          <w:rFonts w:asciiTheme="majorEastAsia" w:eastAsiaTheme="majorEastAsia" w:hAnsiTheme="majorEastAsia"/>
          <w:szCs w:val="21"/>
        </w:rPr>
        <w:t>（</w:t>
      </w:r>
      <w:r>
        <w:rPr>
          <w:rFonts w:asciiTheme="majorEastAsia" w:eastAsiaTheme="majorEastAsia" w:hAnsiTheme="majorEastAsia" w:hint="eastAsia"/>
          <w:szCs w:val="21"/>
        </w:rPr>
        <w:t>排名</w:t>
      </w:r>
      <w:r>
        <w:rPr>
          <w:rFonts w:asciiTheme="majorEastAsia" w:eastAsiaTheme="majorEastAsia" w:hAnsiTheme="majorEastAsia"/>
          <w:szCs w:val="21"/>
        </w:rPr>
        <w:t>第二</w:t>
      </w:r>
      <w:r>
        <w:rPr>
          <w:rFonts w:asciiTheme="majorEastAsia" w:eastAsiaTheme="majorEastAsia" w:hAnsiTheme="majorEastAsia" w:hint="eastAsia"/>
          <w:szCs w:val="21"/>
        </w:rPr>
        <w:t>的投标人为第一替补中标候选人、排名</w:t>
      </w:r>
      <w:r>
        <w:rPr>
          <w:rFonts w:asciiTheme="majorEastAsia" w:eastAsiaTheme="majorEastAsia" w:hAnsiTheme="majorEastAsia"/>
          <w:szCs w:val="21"/>
        </w:rPr>
        <w:t>第</w:t>
      </w:r>
      <w:r>
        <w:rPr>
          <w:rFonts w:asciiTheme="majorEastAsia" w:eastAsiaTheme="majorEastAsia" w:hAnsiTheme="majorEastAsia" w:hint="eastAsia"/>
          <w:szCs w:val="21"/>
        </w:rPr>
        <w:t>三的投标人为第二替补中标候选人</w:t>
      </w:r>
      <w:bookmarkEnd w:id="51"/>
      <w:r>
        <w:rPr>
          <w:rFonts w:asciiTheme="majorEastAsia" w:eastAsiaTheme="majorEastAsia" w:hAnsiTheme="majorEastAsia"/>
          <w:szCs w:val="21"/>
        </w:rPr>
        <w:t>）。</w:t>
      </w:r>
    </w:p>
    <w:p>
      <w:pPr>
        <w:spacing w:line="360" w:lineRule="auto"/>
        <w:ind w:firstLine="412" w:firstLineChars="196"/>
        <w:rPr>
          <w:rFonts w:asciiTheme="majorEastAsia" w:eastAsiaTheme="majorEastAsia" w:hAnsiTheme="majorEastAsia" w:hint="eastAsia"/>
          <w:szCs w:val="21"/>
        </w:rPr>
      </w:pPr>
      <w:r>
        <w:rPr>
          <w:rFonts w:asciiTheme="majorEastAsia" w:eastAsiaTheme="majorEastAsia" w:hAnsiTheme="majorEastAsia" w:hint="eastAsia"/>
          <w:szCs w:val="21"/>
        </w:rPr>
        <w:t>38</w:t>
      </w:r>
      <w:r>
        <w:rPr>
          <w:rFonts w:asciiTheme="majorEastAsia" w:eastAsiaTheme="majorEastAsia" w:hAnsiTheme="majorEastAsia"/>
          <w:szCs w:val="21"/>
        </w:rPr>
        <w:t>.</w:t>
      </w:r>
      <w:r>
        <w:rPr>
          <w:rFonts w:asciiTheme="majorEastAsia" w:eastAsiaTheme="majorEastAsia" w:hAnsiTheme="majorEastAsia" w:hint="eastAsia"/>
          <w:szCs w:val="21"/>
        </w:rPr>
        <w:t>1.3</w:t>
      </w:r>
      <w:r>
        <w:rPr>
          <w:rFonts w:asciiTheme="majorEastAsia" w:eastAsiaTheme="majorEastAsia" w:hAnsiTheme="majorEastAsia"/>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asciiTheme="majorEastAsia" w:eastAsiaTheme="majorEastAsia" w:hAnsiTheme="majorEastAsia" w:hint="eastAsia"/>
          <w:szCs w:val="21"/>
        </w:rPr>
        <w:t>为中标供应商</w:t>
      </w:r>
      <w:r>
        <w:rPr>
          <w:rFonts w:asciiTheme="majorEastAsia" w:eastAsiaTheme="majorEastAsia" w:hAnsiTheme="majorEastAsia"/>
          <w:szCs w:val="21"/>
        </w:rPr>
        <w:t>（</w:t>
      </w:r>
      <w:r>
        <w:rPr>
          <w:rFonts w:asciiTheme="majorEastAsia" w:eastAsiaTheme="majorEastAsia" w:hAnsiTheme="majorEastAsia" w:hint="eastAsia"/>
          <w:szCs w:val="21"/>
        </w:rPr>
        <w:t>中标候选人如不止一名，则推选排名</w:t>
      </w:r>
      <w:r>
        <w:rPr>
          <w:rFonts w:asciiTheme="majorEastAsia" w:eastAsiaTheme="majorEastAsia" w:hAnsiTheme="majorEastAsia"/>
          <w:szCs w:val="21"/>
        </w:rPr>
        <w:t>第二</w:t>
      </w:r>
      <w:r>
        <w:rPr>
          <w:rFonts w:asciiTheme="majorEastAsia" w:eastAsiaTheme="majorEastAsia" w:hAnsiTheme="majorEastAsia" w:hint="eastAsia"/>
          <w:szCs w:val="21"/>
        </w:rPr>
        <w:t>的投标人为第一替补中标候选人、排名</w:t>
      </w:r>
      <w:r>
        <w:rPr>
          <w:rFonts w:asciiTheme="majorEastAsia" w:eastAsiaTheme="majorEastAsia" w:hAnsiTheme="majorEastAsia"/>
          <w:szCs w:val="21"/>
        </w:rPr>
        <w:t>第</w:t>
      </w:r>
      <w:r>
        <w:rPr>
          <w:rFonts w:asciiTheme="majorEastAsia" w:eastAsiaTheme="majorEastAsia" w:hAnsiTheme="majorEastAsia" w:hint="eastAsia"/>
          <w:szCs w:val="21"/>
        </w:rPr>
        <w:t>三的投标人为第二替补中标候选人</w:t>
      </w:r>
      <w:r>
        <w:rPr>
          <w:rFonts w:asciiTheme="majorEastAsia" w:eastAsiaTheme="majorEastAsia" w:hAnsiTheme="majorEastAsia"/>
          <w:szCs w:val="21"/>
        </w:rPr>
        <w:t>）。</w:t>
      </w:r>
      <w:r>
        <w:rPr>
          <w:rFonts w:asciiTheme="majorEastAsia" w:eastAsiaTheme="majorEastAsia" w:hAnsiTheme="majorEastAsia" w:hint="eastAsia"/>
          <w:szCs w:val="21"/>
        </w:rPr>
        <w:t>出现</w:t>
      </w:r>
      <w:r>
        <w:rPr>
          <w:rFonts w:asciiTheme="majorEastAsia" w:eastAsiaTheme="majorEastAsia" w:hAnsiTheme="majorEastAsia"/>
          <w:szCs w:val="21"/>
        </w:rPr>
        <w:t>得分且投标报价相同的并列</w:t>
      </w:r>
      <w:r>
        <w:rPr>
          <w:rFonts w:asciiTheme="majorEastAsia" w:eastAsiaTheme="majorEastAsia" w:hAnsiTheme="majorEastAsia" w:hint="eastAsia"/>
          <w:szCs w:val="21"/>
        </w:rPr>
        <w:t>情况时，采取随机抽取的方式确定，具体操作办法及流程由评审委员会确定（因落实政府采购政策进行价格调整的，以调整后的价格计算投标报价）。</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38.2评定分离项目定标方法</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 xml:space="preserve">38.2.2 </w:t>
      </w:r>
      <w:bookmarkStart w:id="52" w:name="_Hlk71469733"/>
      <w:r>
        <w:rPr>
          <w:rFonts w:asciiTheme="majorEastAsia" w:eastAsiaTheme="majorEastAsia" w:hAnsiTheme="majorEastAsia"/>
          <w:szCs w:val="21"/>
        </w:rPr>
        <w:t>适用评定分离的政府采购项目，采用综合评分法评</w:t>
      </w:r>
      <w:r>
        <w:rPr>
          <w:rFonts w:asciiTheme="majorEastAsia" w:eastAsiaTheme="majorEastAsia" w:hAnsiTheme="majorEastAsia" w:hint="eastAsia"/>
          <w:szCs w:val="21"/>
        </w:rPr>
        <w:t>审。评审委员会按照评审结果，推荐</w:t>
      </w:r>
      <w:r>
        <w:rPr>
          <w:rFonts w:asciiTheme="majorEastAsia" w:eastAsiaTheme="majorEastAsia" w:hAnsiTheme="majorEastAsia"/>
          <w:szCs w:val="21"/>
        </w:rPr>
        <w:t>三个合格的候选中标供应商。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38.2.3</w:t>
      </w:r>
      <w:bookmarkStart w:id="53" w:name="_Hlk71469688"/>
      <w:r>
        <w:rPr>
          <w:rFonts w:asciiTheme="majorEastAsia" w:eastAsiaTheme="majorEastAsia" w:hAnsiTheme="majorEastAsia"/>
          <w:szCs w:val="21"/>
        </w:rPr>
        <w:t>适用评定分离的政府采购项目，</w:t>
      </w:r>
      <w:r>
        <w:rPr>
          <w:rFonts w:asciiTheme="majorEastAsia" w:eastAsiaTheme="majorEastAsia" w:hAnsiTheme="majorEastAsia" w:hint="eastAsia"/>
          <w:szCs w:val="21"/>
        </w:rPr>
        <w:t>按照自定法确定中标供应商：自定法是指采购人组织定标委员会，由定标委员会在三家候选中标供应商中确定中标供应商。</w:t>
      </w:r>
      <w:bookmarkEnd w:id="52"/>
      <w:bookmarkEnd w:id="53"/>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38.2.4</w:t>
      </w:r>
      <w:r>
        <w:rPr>
          <w:rFonts w:asciiTheme="majorEastAsia" w:eastAsiaTheme="majorEastAsia" w:hAnsiTheme="majorEastAsia" w:hint="eastAsia"/>
          <w:szCs w:val="21"/>
        </w:rPr>
        <w:t>采购代理机构</w:t>
      </w:r>
      <w:r>
        <w:rPr>
          <w:rFonts w:asciiTheme="majorEastAsia" w:eastAsiaTheme="majorEastAsia" w:hAnsiTheme="majorEastAsia"/>
          <w:szCs w:val="21"/>
        </w:rPr>
        <w:t>应当自评审结束之日起两个工作日内将候选中标供应商名单及其投标文件、评审报告送交采购人</w:t>
      </w:r>
      <w:r>
        <w:rPr>
          <w:rFonts w:asciiTheme="majorEastAsia" w:eastAsiaTheme="majorEastAsia" w:hAnsiTheme="majorEastAsia" w:hint="eastAsia"/>
          <w:szCs w:val="21"/>
        </w:rPr>
        <w:t>。</w:t>
      </w:r>
      <w:r>
        <w:rPr>
          <w:rFonts w:asciiTheme="majorEastAsia" w:eastAsiaTheme="majorEastAsia" w:hAnsiTheme="majorEastAsia"/>
          <w:szCs w:val="21"/>
        </w:rPr>
        <w:t>采购人应当安排专人对定标过程进行书面记录，形成定标报告，作为采购文件的组成部分存档，并及时将定标结果反馈</w:t>
      </w:r>
      <w:r>
        <w:rPr>
          <w:rFonts w:asciiTheme="majorEastAsia" w:eastAsiaTheme="majorEastAsia" w:hAnsiTheme="majorEastAsia" w:hint="eastAsia"/>
          <w:szCs w:val="21"/>
        </w:rPr>
        <w:t>采购代理机构。具体定标程序及相关要求以按照《</w:t>
      </w:r>
      <w:r>
        <w:rPr>
          <w:rFonts w:asciiTheme="majorEastAsia" w:eastAsiaTheme="majorEastAsia" w:hAnsiTheme="majorEastAsia"/>
          <w:szCs w:val="21"/>
        </w:rPr>
        <w:t>深圳市财政局关于印发</w:t>
      </w:r>
      <w:r>
        <w:rPr>
          <w:rFonts w:asciiTheme="majorEastAsia" w:eastAsiaTheme="majorEastAsia" w:hAnsiTheme="majorEastAsia" w:hint="eastAsia"/>
          <w:szCs w:val="21"/>
        </w:rPr>
        <w:t>〈</w:t>
      </w:r>
      <w:r>
        <w:rPr>
          <w:rFonts w:asciiTheme="majorEastAsia" w:eastAsiaTheme="majorEastAsia" w:hAnsiTheme="majorEastAsia"/>
          <w:szCs w:val="21"/>
        </w:rPr>
        <w:t>深圳市政府采购评标定标分离管理办法</w:t>
      </w:r>
      <w:r>
        <w:rPr>
          <w:rFonts w:asciiTheme="majorEastAsia" w:eastAsiaTheme="majorEastAsia" w:hAnsiTheme="majorEastAsia" w:hint="eastAsia"/>
          <w:szCs w:val="21"/>
        </w:rPr>
        <w:t>〉</w:t>
      </w:r>
      <w:r>
        <w:rPr>
          <w:rFonts w:asciiTheme="majorEastAsia" w:eastAsiaTheme="majorEastAsia" w:hAnsiTheme="majorEastAsia"/>
          <w:szCs w:val="21"/>
        </w:rPr>
        <w:t>的通知</w:t>
      </w:r>
      <w:r>
        <w:rPr>
          <w:rFonts w:asciiTheme="majorEastAsia" w:eastAsiaTheme="majorEastAsia" w:hAnsiTheme="majorEastAsia" w:hint="eastAsia"/>
          <w:szCs w:val="21"/>
        </w:rPr>
        <w:t>》（深财规【2</w:t>
      </w:r>
      <w:r>
        <w:rPr>
          <w:rFonts w:asciiTheme="majorEastAsia" w:eastAsiaTheme="majorEastAsia" w:hAnsiTheme="majorEastAsia"/>
          <w:szCs w:val="21"/>
        </w:rPr>
        <w:t>020</w:t>
      </w:r>
      <w:r>
        <w:rPr>
          <w:rFonts w:asciiTheme="majorEastAsia" w:eastAsiaTheme="majorEastAsia" w:hAnsiTheme="majorEastAsia" w:hint="eastAsia"/>
          <w:szCs w:val="21"/>
        </w:rPr>
        <w:t>】1号）执行。</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说明：采购人及投标供应商应按照上述方法提前做好相关准备。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38.3专用条款另有规定的，按专用条款相关要求定标。</w:t>
      </w:r>
      <w:bookmarkEnd w:id="50"/>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39．编写评审报告</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40．中标公告</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40.1</w:t>
      </w:r>
      <w:bookmarkStart w:id="54" w:name="_Hlk72438709"/>
      <w:r>
        <w:rPr>
          <w:rFonts w:asciiTheme="majorEastAsia" w:eastAsiaTheme="majorEastAsia" w:hAnsiTheme="majorEastAsia" w:hint="eastAsia"/>
          <w:szCs w:val="21"/>
        </w:rPr>
        <w:t>为体现“公开、公平、公正”的原则，评审结束后经采购人确认（确定）评审结果，采购代理机构将在“深圳政府采购智慧平台（http://zfcg.szggzy.com/）”上发布中标结果公告。</w:t>
      </w:r>
      <w:bookmarkEnd w:id="54"/>
      <w:bookmarkStart w:id="55" w:name="_Hlk72438751"/>
      <w:r>
        <w:rPr>
          <w:rFonts w:asciiTheme="majorEastAsia" w:eastAsiaTheme="majorEastAsia" w:hAnsiTheme="majorEastAsia" w:hint="eastAsia"/>
          <w:szCs w:val="21"/>
        </w:rPr>
        <w:t>供应商如对评审结果有异议，</w:t>
      </w:r>
      <w:r>
        <w:rPr>
          <w:rFonts w:asciiTheme="majorEastAsia" w:eastAsiaTheme="majorEastAsia" w:hAnsiTheme="majorEastAsia"/>
          <w:szCs w:val="21"/>
        </w:rPr>
        <w:t>可在发布公示日期起</w:t>
      </w:r>
      <w:r>
        <w:rPr>
          <w:rFonts w:asciiTheme="majorEastAsia" w:eastAsiaTheme="majorEastAsia" w:hAnsiTheme="majorEastAsia" w:hint="eastAsia"/>
          <w:szCs w:val="21"/>
        </w:rPr>
        <w:t>七</w:t>
      </w:r>
      <w:r>
        <w:rPr>
          <w:rFonts w:asciiTheme="majorEastAsia" w:eastAsiaTheme="majorEastAsia" w:hAnsiTheme="majorEastAsia"/>
          <w:szCs w:val="21"/>
        </w:rPr>
        <w:t>个工作日内向</w:t>
      </w:r>
      <w:r>
        <w:rPr>
          <w:rFonts w:asciiTheme="majorEastAsia" w:eastAsiaTheme="majorEastAsia" w:hAnsiTheme="majorEastAsia" w:hint="eastAsia"/>
          <w:szCs w:val="21"/>
        </w:rPr>
        <w:t>采购代理机构</w:t>
      </w:r>
      <w:r>
        <w:rPr>
          <w:rFonts w:asciiTheme="majorEastAsia" w:eastAsiaTheme="majorEastAsia" w:hAnsiTheme="majorEastAsia"/>
          <w:szCs w:val="21"/>
        </w:rPr>
        <w:t>提出。 监督电话：0755-83948143。</w:t>
      </w:r>
      <w:r>
        <w:rPr>
          <w:rFonts w:asciiTheme="majorEastAsia" w:eastAsiaTheme="majorEastAsia" w:hAnsiTheme="majorEastAsia" w:hint="eastAsia"/>
          <w:szCs w:val="21"/>
        </w:rPr>
        <w:t>若在公示期内未提出质疑，则视为认同该评审结果。</w:t>
      </w:r>
    </w:p>
    <w:p>
      <w:pPr>
        <w:spacing w:line="360" w:lineRule="auto"/>
        <w:ind w:firstLine="412" w:firstLineChars="196"/>
        <w:rPr>
          <w:rFonts w:asciiTheme="majorEastAsia" w:eastAsiaTheme="majorEastAsia" w:hAnsiTheme="majorEastAsia"/>
          <w:szCs w:val="21"/>
        </w:rPr>
      </w:pPr>
      <w:bookmarkEnd w:id="55"/>
      <w:r>
        <w:rPr>
          <w:rFonts w:asciiTheme="majorEastAsia" w:eastAsiaTheme="majorEastAsia" w:hAnsiTheme="majorEastAsia" w:hint="eastAsia"/>
          <w:szCs w:val="21"/>
        </w:rPr>
        <w:t>40.2质疑、投诉供应商应保证质疑、投诉内容的真实性和可靠性，并承担相应的法律责任。</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41．中标通知书</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41</w:t>
      </w:r>
      <w:r>
        <w:rPr>
          <w:rFonts w:asciiTheme="majorEastAsia" w:eastAsiaTheme="majorEastAsia" w:hAnsiTheme="majorEastAsia"/>
          <w:szCs w:val="21"/>
        </w:rPr>
        <w:t>.</w:t>
      </w:r>
      <w:r>
        <w:rPr>
          <w:rFonts w:asciiTheme="majorEastAsia" w:eastAsiaTheme="majorEastAsia" w:hAnsiTheme="majorEastAsia" w:hint="eastAsia"/>
          <w:szCs w:val="21"/>
        </w:rPr>
        <w:t>1</w:t>
      </w:r>
      <w:bookmarkStart w:id="56" w:name="_Hlk72438863"/>
      <w:r>
        <w:rPr>
          <w:rFonts w:asciiTheme="majorEastAsia" w:eastAsiaTheme="majorEastAsia" w:hAnsiTheme="majorEastAsia" w:hint="eastAsia"/>
          <w:szCs w:val="21"/>
        </w:rPr>
        <w:t>中标公告公布以后无异常的情况下,采购代理机构将向中标供应商和采购人发出中标通知书。</w:t>
      </w:r>
      <w:bookmarkEnd w:id="56"/>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41</w:t>
      </w:r>
      <w:r>
        <w:rPr>
          <w:rFonts w:asciiTheme="majorEastAsia" w:eastAsiaTheme="majorEastAsia" w:hAnsiTheme="majorEastAsia"/>
          <w:szCs w:val="21"/>
        </w:rPr>
        <w:t>.2</w:t>
      </w:r>
      <w:r>
        <w:rPr>
          <w:rFonts w:asciiTheme="majorEastAsia" w:eastAsiaTheme="majorEastAsia" w:hAnsiTheme="majorEastAsia" w:hint="eastAsia"/>
          <w:szCs w:val="21"/>
        </w:rPr>
        <w:t>中标通知书是合同的重要组成部分。</w:t>
      </w:r>
    </w:p>
    <w:p>
      <w:pPr>
        <w:spacing w:line="360" w:lineRule="auto"/>
        <w:ind w:firstLine="412" w:firstLineChars="196"/>
        <w:rPr>
          <w:rFonts w:asciiTheme="majorEastAsia" w:eastAsiaTheme="majorEastAsia" w:hAnsiTheme="majorEastAsia"/>
          <w:szCs w:val="21"/>
        </w:rPr>
      </w:pPr>
      <w:bookmarkStart w:id="57" w:name="_Hlk71407340"/>
      <w:r>
        <w:rPr>
          <w:rFonts w:asciiTheme="majorEastAsia" w:eastAsiaTheme="majorEastAsia" w:hAnsiTheme="majorEastAsia" w:hint="eastAsia"/>
          <w:szCs w:val="21"/>
        </w:rPr>
        <w:t>41.3因质疑投诉或其它原因导致项目结果变更或采购终止的，采购代理机构有权吊销中标通知书。</w:t>
      </w:r>
    </w:p>
    <w:p>
      <w:pPr>
        <w:spacing w:line="360" w:lineRule="auto"/>
        <w:ind w:firstLine="412" w:firstLineChars="196"/>
        <w:rPr>
          <w:rFonts w:asciiTheme="majorEastAsia" w:eastAsiaTheme="majorEastAsia" w:hAnsiTheme="majorEastAsia" w:hint="eastAsia"/>
          <w:szCs w:val="21"/>
          <w:lang w:eastAsia="zh-CN"/>
        </w:rPr>
      </w:pPr>
      <w:r>
        <w:rPr>
          <w:rFonts w:asciiTheme="majorEastAsia" w:eastAsiaTheme="majorEastAsia" w:hAnsiTheme="majorEastAsia" w:hint="eastAsia"/>
          <w:szCs w:val="21"/>
        </w:rPr>
        <w:t>41.4</w:t>
      </w:r>
      <w:r>
        <w:rPr>
          <w:rFonts w:asciiTheme="majorEastAsia" w:eastAsiaTheme="majorEastAsia" w:hAnsiTheme="majorEastAsia" w:hint="eastAsia"/>
          <w:szCs w:val="21"/>
          <w:lang w:eastAsia="zh-CN"/>
        </w:rPr>
        <w:t>代理服务费</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中标人须在中标公告公示期结束后，向采购代理机构缴纳</w:t>
      </w:r>
      <w:r>
        <w:rPr>
          <w:rFonts w:asciiTheme="majorEastAsia" w:eastAsiaTheme="majorEastAsia" w:hAnsiTheme="majorEastAsia" w:hint="eastAsia"/>
          <w:szCs w:val="21"/>
          <w:lang w:eastAsia="zh-CN"/>
        </w:rPr>
        <w:t>代理服务费</w:t>
      </w:r>
      <w:r>
        <w:rPr>
          <w:rFonts w:asciiTheme="majorEastAsia" w:eastAsiaTheme="majorEastAsia" w:hAnsiTheme="majorEastAsia" w:hint="eastAsia"/>
          <w:szCs w:val="21"/>
        </w:rPr>
        <w:t>。</w:t>
      </w:r>
      <w:r>
        <w:rPr>
          <w:rFonts w:asciiTheme="majorEastAsia" w:eastAsiaTheme="majorEastAsia" w:hAnsiTheme="majorEastAsia" w:hint="eastAsia"/>
          <w:szCs w:val="21"/>
          <w:lang w:eastAsia="zh-CN"/>
        </w:rPr>
        <w:t>代理服务费</w:t>
      </w:r>
      <w:r>
        <w:rPr>
          <w:rFonts w:asciiTheme="majorEastAsia" w:eastAsiaTheme="majorEastAsia" w:hAnsiTheme="majorEastAsia" w:hint="eastAsia"/>
          <w:szCs w:val="21"/>
        </w:rPr>
        <w:t>收费标准根据《深圳市财政委员会关于规范深圳市社会采购代理机构的管理有关事项的补充通知（深财购[2018]27号）》文件相关规定，按照差额定率累进法计算。具体收费标准详见下表：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02"/>
        <w:gridCol w:w="2027"/>
        <w:gridCol w:w="2158"/>
        <w:gridCol w:w="215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262"/>
          <w:jc w:val="center"/>
        </w:trPr>
        <w:tc>
          <w:tcPr>
            <w:tcW w:w="2802" w:type="dxa"/>
          </w:tcPr>
          <w:p>
            <w:pPr>
              <w:spacing w:line="360" w:lineRule="auto"/>
              <w:ind w:firstLine="1630" w:firstLineChars="776"/>
              <w:rPr>
                <w:rFonts w:asciiTheme="majorEastAsia" w:eastAsiaTheme="majorEastAsia" w:hAnsiTheme="majorEastAsia"/>
                <w:b/>
                <w:szCs w:val="21"/>
              </w:rPr>
            </w:pPr>
            <w:r>
              <w:rPr>
                <w:rFonts w:asciiTheme="majorEastAsia" w:eastAsiaTheme="majorEastAsia" w:hAnsiTheme="majorEastAsia"/>
                <w:szCs w:val="21"/>
              </w:rPr>
              <w:pict>
                <v:line id="_x0000_s2052" o:spid="_x0000_s1026" style="flip:x y;mso-height-relative:page;mso-width-relative:page;position:absolute;z-index:251660288" from="-1.5pt,34.35pt" to="135pt,65.4pt" coordsize="21600,21600" o:allowincell="f"/>
              </w:pict>
            </w:r>
            <w:r>
              <w:rPr>
                <w:rFonts w:asciiTheme="majorEastAsia" w:eastAsiaTheme="majorEastAsia" w:hAnsiTheme="majorEastAsia"/>
                <w:szCs w:val="21"/>
              </w:rPr>
              <w:pict>
                <v:line id="_x0000_s2051" o:spid="_x0000_s1027" style="flip:x y;mso-height-relative:page;mso-width-relative:page;position:absolute;z-index:251659264" from="30.9pt,2.5pt" to="135pt,65.4pt" coordsize="21600,21600" o:allowincell="f"/>
              </w:pict>
            </w:r>
            <w:r>
              <w:rPr>
                <w:rFonts w:asciiTheme="majorEastAsia" w:eastAsiaTheme="majorEastAsia" w:hAnsiTheme="majorEastAsia"/>
                <w:szCs w:val="21"/>
              </w:rPr>
              <w:pict>
                <v:line id="_x0000_s2050" o:spid="_x0000_s1028" style="mso-height-relative:page;mso-width-relative:page;position:absolute;z-index:251661312" from="-9pt,-0.5pt" to="-8.95pt,-0.5pt" coordsize="21600,21600" o:allowincell="f"/>
              </w:pict>
            </w:r>
            <w:r>
              <w:rPr>
                <w:rFonts w:asciiTheme="majorEastAsia" w:eastAsiaTheme="majorEastAsia" w:hAnsiTheme="majorEastAsia" w:hint="eastAsia"/>
                <w:b/>
                <w:szCs w:val="21"/>
              </w:rPr>
              <w:t>服务类型</w:t>
            </w:r>
          </w:p>
          <w:p>
            <w:pPr>
              <w:spacing w:line="360" w:lineRule="auto"/>
              <w:ind w:firstLine="634" w:firstLineChars="302"/>
              <w:rPr>
                <w:rFonts w:asciiTheme="majorEastAsia" w:eastAsiaTheme="majorEastAsia" w:hAnsiTheme="majorEastAsia"/>
                <w:b/>
                <w:szCs w:val="21"/>
              </w:rPr>
            </w:pPr>
            <w:r>
              <w:rPr>
                <w:rFonts w:asciiTheme="majorEastAsia" w:eastAsiaTheme="majorEastAsia" w:hAnsiTheme="majorEastAsia" w:hint="eastAsia"/>
                <w:b/>
                <w:szCs w:val="21"/>
              </w:rPr>
              <w:t>费率　　　　　</w:t>
            </w:r>
          </w:p>
          <w:p>
            <w:pPr>
              <w:spacing w:line="360" w:lineRule="auto"/>
              <w:rPr>
                <w:rFonts w:asciiTheme="majorEastAsia" w:eastAsiaTheme="majorEastAsia" w:hAnsiTheme="majorEastAsia"/>
                <w:b/>
                <w:szCs w:val="21"/>
              </w:rPr>
            </w:pPr>
            <w:r>
              <w:rPr>
                <w:rFonts w:asciiTheme="majorEastAsia" w:eastAsiaTheme="majorEastAsia" w:hAnsiTheme="majorEastAsia" w:hint="eastAsia"/>
                <w:b/>
                <w:szCs w:val="21"/>
              </w:rPr>
              <w:t>中标金额（万元）</w:t>
            </w:r>
          </w:p>
        </w:tc>
        <w:tc>
          <w:tcPr>
            <w:tcW w:w="2027" w:type="dxa"/>
            <w:vAlign w:val="center"/>
          </w:tcPr>
          <w:p>
            <w:pPr>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货物招标</w:t>
            </w:r>
          </w:p>
        </w:tc>
        <w:tc>
          <w:tcPr>
            <w:tcW w:w="2158" w:type="dxa"/>
            <w:vAlign w:val="center"/>
          </w:tcPr>
          <w:p>
            <w:pPr>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服务招标</w:t>
            </w:r>
          </w:p>
        </w:tc>
        <w:tc>
          <w:tcPr>
            <w:tcW w:w="2158" w:type="dxa"/>
            <w:vAlign w:val="center"/>
          </w:tcPr>
          <w:p>
            <w:pPr>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工程招标</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以下</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1.500%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1.500%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1.000%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w:t>
            </w:r>
            <w:r>
              <w:rPr>
                <w:rFonts w:asciiTheme="majorEastAsia" w:eastAsiaTheme="majorEastAsia" w:hAnsiTheme="majorEastAsia"/>
                <w:szCs w:val="21"/>
              </w:rPr>
              <w:t>500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1.100%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0.800%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0.700%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500</w:t>
            </w:r>
            <w:r>
              <w:rPr>
                <w:rFonts w:asciiTheme="majorEastAsia" w:eastAsiaTheme="majorEastAsia" w:hAnsiTheme="majorEastAsia" w:hint="eastAsia"/>
                <w:szCs w:val="21"/>
              </w:rPr>
              <w:t>～</w:t>
            </w:r>
            <w:r>
              <w:rPr>
                <w:rFonts w:asciiTheme="majorEastAsia" w:eastAsiaTheme="majorEastAsia" w:hAnsiTheme="majorEastAsia"/>
                <w:szCs w:val="21"/>
              </w:rPr>
              <w:t>1</w:t>
            </w:r>
            <w:r>
              <w:rPr>
                <w:rFonts w:asciiTheme="majorEastAsia" w:eastAsiaTheme="majorEastAsia" w:hAnsiTheme="majorEastAsia" w:hint="eastAsia"/>
                <w:szCs w:val="21"/>
              </w:rPr>
              <w:t>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0.800%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0.450%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0.550%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000～</w:t>
            </w:r>
            <w:r>
              <w:rPr>
                <w:rFonts w:asciiTheme="majorEastAsia" w:eastAsiaTheme="majorEastAsia" w:hAnsiTheme="majorEastAsia"/>
                <w:szCs w:val="21"/>
              </w:rPr>
              <w:t>5</w:t>
            </w:r>
            <w:r>
              <w:rPr>
                <w:rFonts w:asciiTheme="majorEastAsia" w:eastAsiaTheme="majorEastAsia" w:hAnsiTheme="majorEastAsia" w:hint="eastAsia"/>
                <w:szCs w:val="21"/>
              </w:rPr>
              <w:t>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0.500%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0.250%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0.350%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w:t>
            </w:r>
            <w:r>
              <w:rPr>
                <w:rFonts w:asciiTheme="majorEastAsia" w:eastAsiaTheme="majorEastAsia" w:hAnsiTheme="majorEastAsia" w:hint="eastAsia"/>
                <w:szCs w:val="21"/>
              </w:rPr>
              <w:t>000～</w:t>
            </w:r>
            <w:r>
              <w:rPr>
                <w:rFonts w:asciiTheme="majorEastAsia" w:eastAsiaTheme="majorEastAsia" w:hAnsiTheme="majorEastAsia"/>
                <w:szCs w:val="21"/>
              </w:rPr>
              <w:t>1</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0.250%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0.100%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0.200%</w:t>
            </w:r>
          </w:p>
        </w:tc>
      </w:tr>
      <w:tr>
        <w:tblPrEx>
          <w:tblW w:w="0" w:type="auto"/>
          <w:jc w:val="center"/>
          <w:tblLayout w:type="fixed"/>
          <w:tblCellMar>
            <w:top w:w="0" w:type="dxa"/>
            <w:left w:w="108" w:type="dxa"/>
            <w:bottom w:w="0" w:type="dxa"/>
            <w:right w:w="108" w:type="dxa"/>
          </w:tblCellMar>
        </w:tblPrEx>
        <w:trPr>
          <w:trHeight w:val="386"/>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w:t>
            </w:r>
            <w:r>
              <w:rPr>
                <w:rFonts w:asciiTheme="majorEastAsia" w:eastAsiaTheme="majorEastAsia" w:hAnsiTheme="majorEastAsia" w:hint="eastAsia"/>
                <w:szCs w:val="21"/>
              </w:rPr>
              <w:t>0000～</w:t>
            </w:r>
            <w:r>
              <w:rPr>
                <w:rFonts w:asciiTheme="majorEastAsia" w:eastAsiaTheme="majorEastAsia" w:hAnsiTheme="majorEastAsia"/>
                <w:szCs w:val="21"/>
              </w:rPr>
              <w:t>5</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0.050%</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0.050%</w:t>
            </w:r>
          </w:p>
        </w:tc>
        <w:tc>
          <w:tcPr>
            <w:tcW w:w="2158" w:type="dxa"/>
            <w:vAlign w:val="center"/>
          </w:tcPr>
          <w:p>
            <w:pPr>
              <w:snapToGrid w:val="0"/>
              <w:spacing w:line="360" w:lineRule="auto"/>
              <w:jc w:val="center"/>
              <w:rPr>
                <w:rFonts w:asciiTheme="majorEastAsia" w:eastAsiaTheme="majorEastAsia" w:hAnsiTheme="majorEastAsia"/>
                <w:szCs w:val="21"/>
              </w:rPr>
            </w:pPr>
            <w:r>
              <w:rPr>
                <w:rFonts w:asciiTheme="majorEastAsia" w:eastAsiaTheme="majorEastAsia" w:hAnsiTheme="majorEastAsia" w:hint="eastAsia"/>
                <w:szCs w:val="21"/>
              </w:rPr>
              <w:t>0.050%</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w:t>
            </w:r>
            <w:r>
              <w:rPr>
                <w:rFonts w:asciiTheme="majorEastAsia" w:eastAsiaTheme="majorEastAsia" w:hAnsiTheme="majorEastAsia" w:hint="eastAsia"/>
                <w:szCs w:val="21"/>
              </w:rPr>
              <w:t>0000～</w:t>
            </w:r>
            <w:r>
              <w:rPr>
                <w:rFonts w:asciiTheme="majorEastAsia" w:eastAsiaTheme="majorEastAsia" w:hAnsiTheme="majorEastAsia"/>
                <w:szCs w:val="21"/>
              </w:rPr>
              <w:t>10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0.035%</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0.035%</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0.035%</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w:t>
            </w:r>
            <w:r>
              <w:rPr>
                <w:rFonts w:asciiTheme="majorEastAsia" w:eastAsiaTheme="majorEastAsia" w:hAnsiTheme="majorEastAsia" w:hint="eastAsia"/>
                <w:szCs w:val="21"/>
              </w:rPr>
              <w:t>0000～</w:t>
            </w:r>
            <w:r>
              <w:rPr>
                <w:rFonts w:asciiTheme="majorEastAsia" w:eastAsiaTheme="majorEastAsia" w:hAnsiTheme="majorEastAsia"/>
                <w:szCs w:val="21"/>
              </w:rPr>
              <w:t>50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0.008%</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0.008%</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0.008%</w:t>
            </w:r>
          </w:p>
        </w:tc>
      </w:tr>
      <w:tr>
        <w:tblPrEx>
          <w:tblW w:w="0" w:type="auto"/>
          <w:jc w:val="center"/>
          <w:tblLayout w:type="fixed"/>
          <w:tblCellMar>
            <w:top w:w="0" w:type="dxa"/>
            <w:left w:w="108" w:type="dxa"/>
            <w:bottom w:w="0" w:type="dxa"/>
            <w:right w:w="108" w:type="dxa"/>
          </w:tblCellMar>
        </w:tblPrEx>
        <w:trPr>
          <w:trHeight w:val="401"/>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50</w:t>
            </w:r>
            <w:r>
              <w:rPr>
                <w:rFonts w:asciiTheme="majorEastAsia" w:eastAsiaTheme="majorEastAsia" w:hAnsiTheme="majorEastAsia" w:hint="eastAsia"/>
                <w:szCs w:val="21"/>
              </w:rPr>
              <w:t>0000～</w:t>
            </w:r>
            <w:r>
              <w:rPr>
                <w:rFonts w:asciiTheme="majorEastAsia" w:eastAsiaTheme="majorEastAsia" w:hAnsiTheme="majorEastAsia"/>
                <w:szCs w:val="21"/>
              </w:rPr>
              <w:t>100</w:t>
            </w:r>
            <w:r>
              <w:rPr>
                <w:rFonts w:asciiTheme="majorEastAsia" w:eastAsiaTheme="majorEastAsia" w:hAnsiTheme="majorEastAsia" w:hint="eastAsia"/>
                <w:szCs w:val="21"/>
              </w:rPr>
              <w:t>0000</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0.006%</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0.006%</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0.006%</w:t>
            </w:r>
          </w:p>
        </w:tc>
      </w:tr>
      <w:tr>
        <w:tblPrEx>
          <w:tblW w:w="0" w:type="auto"/>
          <w:jc w:val="center"/>
          <w:tblLayout w:type="fixed"/>
          <w:tblCellMar>
            <w:top w:w="0" w:type="dxa"/>
            <w:left w:w="108" w:type="dxa"/>
            <w:bottom w:w="0" w:type="dxa"/>
            <w:right w:w="108" w:type="dxa"/>
          </w:tblCellMar>
        </w:tblPrEx>
        <w:trPr>
          <w:trHeight w:val="416"/>
          <w:jc w:val="center"/>
        </w:trPr>
        <w:tc>
          <w:tcPr>
            <w:tcW w:w="2802"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100</w:t>
            </w:r>
            <w:r>
              <w:rPr>
                <w:rFonts w:asciiTheme="majorEastAsia" w:eastAsiaTheme="majorEastAsia" w:hAnsiTheme="majorEastAsia" w:hint="eastAsia"/>
                <w:szCs w:val="21"/>
              </w:rPr>
              <w:t>0000以上</w:t>
            </w:r>
          </w:p>
        </w:tc>
        <w:tc>
          <w:tcPr>
            <w:tcW w:w="2027"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0.004%</w:t>
            </w:r>
          </w:p>
        </w:tc>
        <w:tc>
          <w:tcPr>
            <w:tcW w:w="2158" w:type="dxa"/>
            <w:vAlign w:val="center"/>
          </w:tcPr>
          <w:p>
            <w:pPr>
              <w:spacing w:line="360" w:lineRule="auto"/>
              <w:jc w:val="center"/>
              <w:rPr>
                <w:rFonts w:asciiTheme="majorEastAsia" w:eastAsiaTheme="majorEastAsia" w:hAnsiTheme="majorEastAsia"/>
                <w:szCs w:val="21"/>
              </w:rPr>
            </w:pPr>
            <w:r>
              <w:rPr>
                <w:rFonts w:asciiTheme="majorEastAsia" w:eastAsiaTheme="majorEastAsia" w:hAnsiTheme="majorEastAsia"/>
                <w:szCs w:val="21"/>
              </w:rPr>
              <w:t>0.004%</w:t>
            </w:r>
          </w:p>
        </w:tc>
        <w:tc>
          <w:tcPr>
            <w:tcW w:w="2158" w:type="dxa"/>
            <w:vAlign w:val="center"/>
          </w:tcPr>
          <w:p>
            <w:pPr>
              <w:snapToGrid w:val="0"/>
              <w:spacing w:line="360" w:lineRule="auto"/>
              <w:jc w:val="center"/>
              <w:rPr>
                <w:rFonts w:asciiTheme="majorEastAsia" w:eastAsiaTheme="majorEastAsia" w:hAnsiTheme="majorEastAsia"/>
                <w:bCs/>
                <w:szCs w:val="21"/>
              </w:rPr>
            </w:pPr>
            <w:r>
              <w:rPr>
                <w:rFonts w:asciiTheme="majorEastAsia" w:eastAsiaTheme="majorEastAsia" w:hAnsiTheme="majorEastAsia" w:hint="eastAsia"/>
                <w:bCs/>
                <w:szCs w:val="21"/>
              </w:rPr>
              <w:t>0.004%</w:t>
            </w:r>
          </w:p>
        </w:tc>
      </w:tr>
    </w:tbl>
    <w:p>
      <w:pPr>
        <w:spacing w:line="360" w:lineRule="auto"/>
        <w:ind w:firstLine="412" w:firstLineChars="196"/>
        <w:rPr>
          <w:rFonts w:asciiTheme="majorEastAsia" w:eastAsiaTheme="majorEastAsia" w:hAnsiTheme="majorEastAsia"/>
          <w:szCs w:val="21"/>
        </w:rPr>
      </w:pP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57"/>
      <w:r>
        <w:rPr>
          <w:rFonts w:asciiTheme="majorEastAsia" w:eastAsiaTheme="majorEastAsia" w:hAnsiTheme="majorEastAsia" w:hint="eastAsia"/>
          <w:b/>
          <w:bCs/>
          <w:kern w:val="0"/>
          <w:sz w:val="28"/>
          <w:szCs w:val="28"/>
        </w:rPr>
        <w:t>公开招标失败的后续处理</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42．公开招标失败的处理</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42.1本项目公开招标过程中若由于投标截止后实际递交</w:t>
      </w:r>
      <w:r>
        <w:rPr>
          <w:rFonts w:asciiTheme="majorEastAsia" w:eastAsiaTheme="majorEastAsia" w:hAnsiTheme="majorEastAsia"/>
          <w:szCs w:val="21"/>
        </w:rPr>
        <w:t>投标</w:t>
      </w:r>
      <w:r>
        <w:rPr>
          <w:rFonts w:asciiTheme="majorEastAsia" w:eastAsiaTheme="majorEastAsia" w:hAnsiTheme="majorEastAsia" w:hint="eastAsia"/>
          <w:szCs w:val="21"/>
        </w:rPr>
        <w:t>文件的供应商数量不足、经评审委员会评审对招标文件作实质响应的供应商不足等原因造成公开招标失败，可由</w:t>
      </w:r>
      <w:r>
        <w:rPr>
          <w:rFonts w:asciiTheme="majorEastAsia" w:eastAsiaTheme="majorEastAsia" w:hAnsiTheme="majorEastAsia" w:cs="宋体" w:hint="eastAsia"/>
          <w:szCs w:val="21"/>
        </w:rPr>
        <w:t>采购代理机构</w:t>
      </w:r>
      <w:r>
        <w:rPr>
          <w:rFonts w:asciiTheme="majorEastAsia" w:eastAsiaTheme="majorEastAsia" w:hAnsiTheme="majorEastAsia" w:hint="eastAsia"/>
          <w:szCs w:val="21"/>
        </w:rPr>
        <w:t>重新组织采购。</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42.2对公开招标失败的项目，评审委员会在出具该项目招标失败结论的同时，可以提出重新采购组织形式的建议，以及进一步完善招标文件的资格、技术、商务要求的修改建议。</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42.3重新组织采购有以下两种组织形式：</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（1）由采购代理机构重新组织公开招标；</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（2）根据实际情况需要向同级财政部门提出非公开招标方式申请的，经同级财政部门批准，公开招标失败采购项目可转为竞争性谈判或单一来源谈判方式采购。</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42.4公开招标失败的采购项目重新组织公开招标，由采购代理机构重新按公开招标流程组织采购活动。</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42.5公开招标失败的采购项目经同级财政部门批准转为竞争性谈判或单一来源谈判方式采购的，按规定要求组织政府采购工作。</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Start w:id="58" w:name="_Hlk72439043"/>
      <w:r>
        <w:rPr>
          <w:rFonts w:asciiTheme="majorEastAsia" w:eastAsiaTheme="majorEastAsia" w:hAnsiTheme="majorEastAsia" w:hint="eastAsia"/>
          <w:b/>
          <w:bCs/>
          <w:kern w:val="0"/>
          <w:sz w:val="28"/>
          <w:szCs w:val="28"/>
        </w:rPr>
        <w:t>合同的授予与备案</w:t>
      </w:r>
      <w:bookmarkEnd w:id="58"/>
    </w:p>
    <w:p>
      <w:pPr>
        <w:spacing w:line="360" w:lineRule="auto"/>
        <w:rPr>
          <w:rFonts w:asciiTheme="majorEastAsia" w:eastAsiaTheme="majorEastAsia" w:hAnsiTheme="majorEastAsia"/>
          <w:b/>
          <w:bCs/>
          <w:szCs w:val="21"/>
        </w:rPr>
      </w:pPr>
      <w:bookmarkStart w:id="59" w:name="_Toc73518157"/>
      <w:bookmarkStart w:id="60" w:name="_Toc73521674"/>
      <w:bookmarkStart w:id="61" w:name="_Toc73517679"/>
      <w:bookmarkStart w:id="62" w:name="_Toc73521586"/>
      <w:bookmarkStart w:id="63" w:name="_Toc100052408"/>
      <w:bookmarkStart w:id="64" w:name="_Hlk72439088"/>
      <w:r>
        <w:rPr>
          <w:rFonts w:asciiTheme="majorEastAsia" w:eastAsiaTheme="majorEastAsia" w:hAnsiTheme="majorEastAsia" w:hint="eastAsia"/>
          <w:b/>
          <w:bCs/>
          <w:szCs w:val="21"/>
        </w:rPr>
        <w:t>43．合同授予标准</w:t>
      </w:r>
      <w:bookmarkEnd w:id="59"/>
      <w:bookmarkEnd w:id="60"/>
      <w:bookmarkEnd w:id="61"/>
      <w:bookmarkEnd w:id="62"/>
      <w:bookmarkEnd w:id="63"/>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本项目的合同将授予经本招标文件规定评审确定的中标供应商。</w:t>
      </w:r>
    </w:p>
    <w:p>
      <w:pPr>
        <w:spacing w:line="360" w:lineRule="auto"/>
        <w:rPr>
          <w:rFonts w:asciiTheme="majorEastAsia" w:eastAsiaTheme="majorEastAsia" w:hAnsiTheme="majorEastAsia"/>
          <w:b/>
          <w:bCs/>
          <w:szCs w:val="21"/>
        </w:rPr>
      </w:pPr>
      <w:bookmarkStart w:id="65" w:name="_Toc73521587"/>
      <w:bookmarkStart w:id="66" w:name="_Toc73518158"/>
      <w:bookmarkStart w:id="67" w:name="_Toc100052409"/>
      <w:bookmarkStart w:id="68" w:name="_Toc73517680"/>
      <w:bookmarkStart w:id="69" w:name="_Toc73521675"/>
      <w:r>
        <w:rPr>
          <w:rFonts w:asciiTheme="majorEastAsia" w:eastAsiaTheme="majorEastAsia" w:hAnsiTheme="majorEastAsia" w:hint="eastAsia"/>
          <w:b/>
          <w:bCs/>
          <w:szCs w:val="21"/>
        </w:rPr>
        <w:t>44．</w:t>
      </w:r>
      <w:bookmarkEnd w:id="65"/>
      <w:bookmarkEnd w:id="66"/>
      <w:bookmarkEnd w:id="67"/>
      <w:bookmarkEnd w:id="68"/>
      <w:bookmarkEnd w:id="69"/>
      <w:r>
        <w:rPr>
          <w:rFonts w:asciiTheme="majorEastAsia" w:eastAsiaTheme="majorEastAsia" w:hAnsiTheme="majorEastAsia" w:hint="eastAsia"/>
          <w:b/>
          <w:bCs/>
          <w:szCs w:val="21"/>
        </w:rPr>
        <w:t>接受和拒绝任何或所有投标的权力</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pPr>
        <w:spacing w:line="360" w:lineRule="auto"/>
        <w:rPr>
          <w:rFonts w:asciiTheme="majorEastAsia" w:eastAsiaTheme="majorEastAsia" w:hAnsiTheme="majorEastAsia"/>
          <w:b/>
          <w:bCs/>
          <w:szCs w:val="21"/>
        </w:rPr>
      </w:pPr>
      <w:bookmarkStart w:id="70" w:name="_Toc100052410"/>
      <w:bookmarkStart w:id="71" w:name="_Toc73521677"/>
      <w:bookmarkStart w:id="72" w:name="_Toc73517682"/>
      <w:bookmarkStart w:id="73" w:name="_Toc73521589"/>
      <w:bookmarkStart w:id="74" w:name="_Toc73518160"/>
      <w:r>
        <w:rPr>
          <w:rFonts w:asciiTheme="majorEastAsia" w:eastAsiaTheme="majorEastAsia" w:hAnsiTheme="majorEastAsia" w:hint="eastAsia"/>
          <w:b/>
          <w:bCs/>
          <w:szCs w:val="21"/>
        </w:rPr>
        <w:t>45．合同的签订</w:t>
      </w:r>
      <w:bookmarkEnd w:id="70"/>
      <w:bookmarkEnd w:id="71"/>
      <w:bookmarkEnd w:id="72"/>
      <w:bookmarkEnd w:id="73"/>
      <w:bookmarkEnd w:id="74"/>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45.1中标人将于中标通知书发出之日起十个工作日内，按照采购文件（招标文件和投标文件等）内容与采购人签订政府采购合同；合同的实质性内容应当符合招标文件的规定；</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45.2中标人如不按本通用条款第45</w:t>
      </w:r>
      <w:r>
        <w:rPr>
          <w:rFonts w:asciiTheme="majorEastAsia" w:eastAsiaTheme="majorEastAsia" w:hAnsiTheme="majorEastAsia"/>
          <w:szCs w:val="21"/>
        </w:rPr>
        <w:t>.1</w:t>
      </w:r>
      <w:r>
        <w:rPr>
          <w:rFonts w:asciiTheme="majorEastAsia" w:eastAsiaTheme="majorEastAsia" w:hAnsiTheme="majorEastAsia" w:hint="eastAsia"/>
          <w:szCs w:val="21"/>
        </w:rPr>
        <w:t>款的规定与采购人签订合同，</w:t>
      </w:r>
      <w:r>
        <w:rPr>
          <w:rFonts w:asciiTheme="majorEastAsia" w:eastAsiaTheme="majorEastAsia" w:hAnsiTheme="majorEastAsia" w:cs="宋体"/>
          <w:szCs w:val="21"/>
        </w:rPr>
        <w:t>情节严重的，由</w:t>
      </w:r>
      <w:r>
        <w:rPr>
          <w:rFonts w:asciiTheme="majorEastAsia" w:eastAsiaTheme="majorEastAsia" w:hAnsiTheme="majorEastAsia" w:cs="宋体" w:hint="eastAsia"/>
          <w:szCs w:val="21"/>
        </w:rPr>
        <w:t>同级财政</w:t>
      </w:r>
      <w:r>
        <w:rPr>
          <w:rFonts w:asciiTheme="majorEastAsia" w:eastAsiaTheme="majorEastAsia" w:hAnsiTheme="majorEastAsia" w:cs="宋体"/>
          <w:szCs w:val="21"/>
        </w:rPr>
        <w:t>部门记入供应商诚信档案，予以通报</w:t>
      </w:r>
      <w:r>
        <w:rPr>
          <w:rFonts w:asciiTheme="majorEastAsia" w:eastAsiaTheme="majorEastAsia" w:hAnsiTheme="majorEastAsia" w:hint="eastAsia"/>
          <w:szCs w:val="21"/>
        </w:rPr>
        <w:t>；</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45.3中标人应当按照合同约定履行义务，完成中标项目，不得将中标项目转让（转包）给他人。</w:t>
      </w:r>
    </w:p>
    <w:p>
      <w:pPr>
        <w:spacing w:line="360" w:lineRule="auto"/>
        <w:rPr>
          <w:rFonts w:asciiTheme="majorEastAsia" w:eastAsiaTheme="majorEastAsia" w:hAnsiTheme="majorEastAsia"/>
          <w:b/>
          <w:bCs/>
          <w:szCs w:val="21"/>
        </w:rPr>
      </w:pPr>
      <w:bookmarkStart w:id="75" w:name="_Toc73521678"/>
      <w:bookmarkStart w:id="76" w:name="_Toc73521590"/>
      <w:bookmarkStart w:id="77" w:name="_Toc73517683"/>
      <w:bookmarkStart w:id="78" w:name="_Toc100052411"/>
      <w:bookmarkStart w:id="79" w:name="_Toc73518161"/>
      <w:r>
        <w:rPr>
          <w:rFonts w:asciiTheme="majorEastAsia" w:eastAsiaTheme="majorEastAsia" w:hAnsiTheme="majorEastAsia" w:hint="eastAsia"/>
          <w:b/>
          <w:bCs/>
          <w:szCs w:val="21"/>
        </w:rPr>
        <w:t>46．履约担保</w:t>
      </w:r>
      <w:bookmarkEnd w:id="75"/>
      <w:bookmarkEnd w:id="76"/>
      <w:bookmarkEnd w:id="77"/>
      <w:bookmarkEnd w:id="78"/>
      <w:bookmarkEnd w:id="79"/>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46.1在签订项目合同的同时，中标人应按“对通用条款的补充内容”中规定的金额向采购人提交履约担保；</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46.2，允许供应商自主选择以支票、汇票、本票、保函等非现金方式提交履约担保；</w:t>
      </w:r>
      <w:r>
        <w:rPr>
          <w:rFonts w:asciiTheme="majorEastAsia" w:eastAsiaTheme="majorEastAsia" w:hAnsiTheme="majorEastAsia"/>
          <w:szCs w:val="21"/>
        </w:rPr>
        <w:t>中标</w:t>
      </w:r>
      <w:r>
        <w:rPr>
          <w:rFonts w:asciiTheme="majorEastAsia" w:eastAsiaTheme="majorEastAsia" w:hAnsiTheme="majorEastAsia" w:hint="eastAsia"/>
          <w:szCs w:val="21"/>
        </w:rPr>
        <w:t>人</w:t>
      </w:r>
      <w:r>
        <w:rPr>
          <w:rFonts w:asciiTheme="majorEastAsia" w:eastAsiaTheme="majorEastAsia" w:hAnsiTheme="majorEastAsia"/>
          <w:szCs w:val="21"/>
        </w:rPr>
        <w:t>提交履约</w:t>
      </w:r>
      <w:r>
        <w:rPr>
          <w:rFonts w:asciiTheme="majorEastAsia" w:eastAsiaTheme="majorEastAsia" w:hAnsiTheme="majorEastAsia" w:hint="eastAsia"/>
          <w:szCs w:val="21"/>
        </w:rPr>
        <w:t>担保不是</w:t>
      </w:r>
      <w:r>
        <w:rPr>
          <w:rFonts w:asciiTheme="majorEastAsia" w:eastAsiaTheme="majorEastAsia" w:hAnsiTheme="majorEastAsia"/>
          <w:szCs w:val="21"/>
        </w:rPr>
        <w:t>合同签订的</w:t>
      </w:r>
      <w:r>
        <w:rPr>
          <w:rFonts w:asciiTheme="majorEastAsia" w:eastAsiaTheme="majorEastAsia" w:hAnsiTheme="majorEastAsia" w:hint="eastAsia"/>
          <w:szCs w:val="21"/>
        </w:rPr>
        <w:t>前提</w:t>
      </w:r>
      <w:r>
        <w:rPr>
          <w:rFonts w:asciiTheme="majorEastAsia" w:eastAsiaTheme="majorEastAsia" w:hAnsiTheme="majorEastAsia"/>
          <w:szCs w:val="21"/>
        </w:rPr>
        <w:t>条件，不要求中标</w:t>
      </w:r>
      <w:r>
        <w:rPr>
          <w:rFonts w:asciiTheme="majorEastAsia" w:eastAsiaTheme="majorEastAsia" w:hAnsiTheme="majorEastAsia" w:hint="eastAsia"/>
          <w:szCs w:val="21"/>
        </w:rPr>
        <w:t>人</w:t>
      </w:r>
      <w:r>
        <w:rPr>
          <w:rFonts w:asciiTheme="majorEastAsia" w:eastAsiaTheme="majorEastAsia" w:hAnsiTheme="majorEastAsia"/>
          <w:szCs w:val="21"/>
        </w:rPr>
        <w:t>提供除法律、法规明确规定外的其他担保</w:t>
      </w:r>
      <w:r>
        <w:rPr>
          <w:rFonts w:asciiTheme="majorEastAsia" w:eastAsiaTheme="majorEastAsia" w:hAnsiTheme="majorEastAsia" w:hint="eastAsia"/>
          <w:szCs w:val="21"/>
        </w:rPr>
        <w:t>。</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47. 合同备案</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采购人与中标人应于合同签订之日起十日内，由采购人或委托中标人将采购合同副本抄送合同备案工作实施机构备案。</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48. 合同变更</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合同变更事宜按《深圳市财政局 深圳市政府采购中心关于进一步加强市本级政府采购合同备案管理工作的通知》（深财购〔2019〕43号）相关规定执行。</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49. 项目验收</w:t>
      </w:r>
    </w:p>
    <w:p>
      <w:pPr>
        <w:spacing w:line="360" w:lineRule="auto"/>
        <w:ind w:right="176" w:firstLine="420"/>
        <w:rPr>
          <w:rFonts w:asciiTheme="majorEastAsia" w:eastAsiaTheme="majorEastAsia" w:hAnsiTheme="majorEastAsia"/>
          <w:szCs w:val="21"/>
        </w:rPr>
      </w:pPr>
      <w:r>
        <w:rPr>
          <w:rFonts w:asciiTheme="majorEastAsia" w:eastAsiaTheme="majorEastAsia" w:hAnsiTheme="majorEastAsia" w:hint="eastAsia"/>
          <w:szCs w:val="21"/>
        </w:rPr>
        <w:t>49.1采购人应当按照招标文件和合同规定的标准和方法，及时组织验收。</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50. 宣传</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hint="eastAsia"/>
          <w:szCs w:val="21"/>
        </w:rPr>
        <w:t>凡与政府采购活动有关的宣传或广告，若当中提及政府采购，</w:t>
      </w:r>
      <w:r>
        <w:rPr>
          <w:rFonts w:asciiTheme="majorEastAsia" w:eastAsiaTheme="majorEastAsia" w:hAnsiTheme="majorEastAsia"/>
          <w:szCs w:val="21"/>
        </w:rPr>
        <w:t>必须事先将具体对外宣传方案报</w:t>
      </w:r>
      <w:r>
        <w:rPr>
          <w:rFonts w:asciiTheme="majorEastAsia" w:eastAsiaTheme="majorEastAsia" w:hAnsiTheme="majorEastAsia" w:hint="eastAsia"/>
          <w:szCs w:val="21"/>
        </w:rPr>
        <w:t>同级财政部门</w:t>
      </w:r>
      <w:r>
        <w:rPr>
          <w:rFonts w:asciiTheme="majorEastAsia" w:eastAsiaTheme="majorEastAsia" w:hAnsiTheme="majorEastAsia"/>
          <w:szCs w:val="21"/>
        </w:rPr>
        <w:t>和</w:t>
      </w:r>
      <w:r>
        <w:rPr>
          <w:rFonts w:asciiTheme="majorEastAsia" w:eastAsiaTheme="majorEastAsia" w:hAnsiTheme="majorEastAsia" w:hint="eastAsia"/>
          <w:szCs w:val="21"/>
        </w:rPr>
        <w:t>采购代理机构</w:t>
      </w:r>
      <w:r>
        <w:rPr>
          <w:rFonts w:asciiTheme="majorEastAsia" w:eastAsiaTheme="majorEastAsia" w:hAnsiTheme="majorEastAsia"/>
          <w:szCs w:val="21"/>
        </w:rPr>
        <w:t>，并征得其同意。对外市场宣传包括但不限于以下形式：</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szCs w:val="21"/>
        </w:rPr>
        <w:t>a.名片、宣传册、广告标语等；</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szCs w:val="21"/>
        </w:rPr>
        <w:t>b.案例介绍、推广等；</w:t>
      </w:r>
    </w:p>
    <w:p>
      <w:pPr>
        <w:spacing w:line="360" w:lineRule="auto"/>
        <w:ind w:left="210" w:firstLine="412" w:leftChars="100" w:firstLineChars="196"/>
        <w:rPr>
          <w:rFonts w:asciiTheme="majorEastAsia" w:eastAsiaTheme="majorEastAsia" w:hAnsiTheme="majorEastAsia"/>
          <w:szCs w:val="21"/>
        </w:rPr>
      </w:pPr>
      <w:r>
        <w:rPr>
          <w:rFonts w:asciiTheme="majorEastAsia" w:eastAsiaTheme="majorEastAsia" w:hAnsiTheme="majorEastAsia" w:hint="eastAsia"/>
          <w:szCs w:val="21"/>
        </w:rPr>
        <w:t>c.工作</w:t>
      </w:r>
      <w:r>
        <w:rPr>
          <w:rFonts w:asciiTheme="majorEastAsia" w:eastAsiaTheme="majorEastAsia" w:hAnsiTheme="majorEastAsia"/>
          <w:szCs w:val="21"/>
        </w:rPr>
        <w:t>人员向其他消费群体宣传。</w:t>
      </w:r>
    </w:p>
    <w:p>
      <w:pPr>
        <w:spacing w:line="360" w:lineRule="auto"/>
        <w:rPr>
          <w:rFonts w:asciiTheme="majorEastAsia" w:eastAsiaTheme="majorEastAsia" w:hAnsiTheme="majorEastAsia"/>
          <w:b/>
          <w:bCs/>
          <w:szCs w:val="21"/>
        </w:rPr>
      </w:pPr>
      <w:r>
        <w:rPr>
          <w:rFonts w:asciiTheme="majorEastAsia" w:eastAsiaTheme="majorEastAsia" w:hAnsiTheme="majorEastAsia" w:hint="eastAsia"/>
          <w:b/>
          <w:bCs/>
          <w:szCs w:val="21"/>
        </w:rPr>
        <w:t>51. 供应商违法责任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1.1</w:t>
      </w:r>
      <w:r>
        <w:rPr>
          <w:rFonts w:asciiTheme="majorEastAsia" w:eastAsiaTheme="majorEastAsia" w:hAnsiTheme="majorEastAsia" w:hint="eastAsia"/>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（1）在采购活动中应当回避而未回避的；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（2）未按本条例规定签订、履行采购合同，造成严重后果的；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（3）隐瞒真实情况，提供虚假资料的；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（4）以非法手段排斥其他供应商参与竞争的；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（5）与其他采购参加人串通投标的；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（6）恶意投诉的；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（7）向采购项目相关人行贿或者提供其他不当利益的；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（8）阻碍、抗拒主管部门监督检查的；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（9）其他违反本条例规定的行为。</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 xml:space="preserve">1.2 </w:t>
      </w:r>
      <w:r>
        <w:rPr>
          <w:rFonts w:asciiTheme="majorEastAsia" w:eastAsiaTheme="majorEastAsia" w:hAnsiTheme="majorEastAsia" w:hint="eastAsia"/>
          <w:szCs w:val="21"/>
        </w:rPr>
        <w:t>根据《深圳市财政局关于明确政府采购保证金管理工作的通知》（深财购[2019]42号）的要求，供应商在政府采购活动中出现《深圳经济特区政府采购条例实施细则》第八十四条所列情形的，</w:t>
      </w:r>
      <w:bookmarkStart w:id="80" w:name="_Hlk72440769"/>
      <w:r>
        <w:rPr>
          <w:rFonts w:asciiTheme="majorEastAsia" w:eastAsiaTheme="majorEastAsia" w:hAnsiTheme="majorEastAsia" w:hint="eastAsia"/>
          <w:szCs w:val="21"/>
        </w:rPr>
        <w:t>采购人或采购代理机构</w:t>
      </w:r>
      <w:bookmarkEnd w:id="80"/>
      <w:r>
        <w:rPr>
          <w:rFonts w:asciiTheme="majorEastAsia" w:eastAsiaTheme="majorEastAsia" w:hAnsiTheme="majorEastAsia" w:hint="eastAsia"/>
          <w:szCs w:val="21"/>
        </w:rPr>
        <w:t>可将有关情况报同级财政部门，由财政部门根据实际情况记入供应商诚信档案，予以通报：</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hint="eastAsia"/>
          <w:szCs w:val="21"/>
        </w:rPr>
        <w:t>（1</w:t>
      </w:r>
      <w:r>
        <w:rPr>
          <w:rFonts w:asciiTheme="majorEastAsia" w:eastAsiaTheme="majorEastAsia" w:hAnsiTheme="majorEastAsia"/>
          <w:szCs w:val="21"/>
        </w:rPr>
        <w:t>）投标截止后，撤销投标的；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2</w:t>
      </w:r>
      <w:r>
        <w:rPr>
          <w:rFonts w:asciiTheme="majorEastAsia" w:eastAsiaTheme="majorEastAsia" w:hAnsiTheme="majorEastAsia"/>
          <w:szCs w:val="21"/>
        </w:rPr>
        <w:t>）中标后无正当理由未在规定期限内签订合同的；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3</w:t>
      </w:r>
      <w:r>
        <w:rPr>
          <w:rFonts w:asciiTheme="majorEastAsia" w:eastAsiaTheme="majorEastAsia" w:hAnsiTheme="majorEastAsia"/>
          <w:szCs w:val="21"/>
        </w:rPr>
        <w:t>）将中标项目转让给他人、或者在投标文件中未说明且未经采购人、采购招标机构同意，将中标项目分包给他人的；</w:t>
      </w:r>
    </w:p>
    <w:p>
      <w:pPr>
        <w:spacing w:line="360" w:lineRule="auto"/>
        <w:ind w:firstLine="412" w:firstLineChars="196"/>
        <w:rPr>
          <w:rFonts w:asciiTheme="majorEastAsia" w:eastAsiaTheme="majorEastAsia" w:hAnsiTheme="majorEastAsia"/>
          <w:szCs w:val="21"/>
        </w:rPr>
      </w:pPr>
      <w:r>
        <w:rPr>
          <w:rFonts w:asciiTheme="majorEastAsia" w:eastAsiaTheme="majorEastAsia" w:hAnsiTheme="majorEastAsia"/>
          <w:szCs w:val="21"/>
        </w:rPr>
        <w:t>（</w:t>
      </w:r>
      <w:r>
        <w:rPr>
          <w:rFonts w:asciiTheme="majorEastAsia" w:eastAsiaTheme="majorEastAsia" w:hAnsiTheme="majorEastAsia" w:hint="eastAsia"/>
          <w:szCs w:val="21"/>
        </w:rPr>
        <w:t>4</w:t>
      </w:r>
      <w:r>
        <w:rPr>
          <w:rFonts w:asciiTheme="majorEastAsia" w:eastAsiaTheme="majorEastAsia" w:hAnsiTheme="majorEastAsia"/>
          <w:szCs w:val="21"/>
        </w:rPr>
        <w:t>）拒绝履行合同义务的</w:t>
      </w:r>
      <w:r>
        <w:rPr>
          <w:rFonts w:asciiTheme="majorEastAsia" w:eastAsiaTheme="majorEastAsia" w:hAnsiTheme="majorEastAsia" w:hint="eastAsia"/>
          <w:szCs w:val="21"/>
        </w:rPr>
        <w:t>。</w:t>
      </w:r>
    </w:p>
    <w:p>
      <w:pPr>
        <w:keepNext/>
        <w:keepLines/>
        <w:widowControl/>
        <w:numPr>
          <w:ilvl w:val="0"/>
          <w:numId w:val="5"/>
        </w:numPr>
        <w:adjustRightInd w:val="0"/>
        <w:spacing w:before="156" w:beforeLines="50" w:after="156" w:afterLines="50" w:line="360" w:lineRule="auto"/>
        <w:ind w:left="562" w:hanging="562"/>
        <w:jc w:val="center"/>
        <w:textAlignment w:val="baseline"/>
        <w:outlineLvl w:val="1"/>
        <w:rPr>
          <w:rFonts w:asciiTheme="majorEastAsia" w:eastAsiaTheme="majorEastAsia" w:hAnsiTheme="majorEastAsia"/>
          <w:b/>
          <w:bCs/>
          <w:kern w:val="0"/>
          <w:sz w:val="28"/>
          <w:szCs w:val="28"/>
        </w:rPr>
      </w:pPr>
      <w:bookmarkEnd w:id="64"/>
      <w:r>
        <w:rPr>
          <w:rFonts w:asciiTheme="majorEastAsia" w:eastAsiaTheme="majorEastAsia" w:hAnsiTheme="majorEastAsia" w:hint="eastAsia"/>
          <w:b/>
          <w:bCs/>
          <w:kern w:val="0"/>
          <w:sz w:val="28"/>
          <w:szCs w:val="28"/>
        </w:rPr>
        <w:t>质疑处理</w:t>
      </w:r>
    </w:p>
    <w:p>
      <w:pPr>
        <w:spacing w:line="360" w:lineRule="auto"/>
        <w:rPr>
          <w:rFonts w:asciiTheme="majorEastAsia" w:eastAsiaTheme="majorEastAsia" w:hAnsiTheme="majorEastAsia"/>
          <w:b/>
          <w:bCs/>
          <w:szCs w:val="21"/>
        </w:rPr>
      </w:pPr>
      <w:bookmarkStart w:id="81" w:name="_Hlk72439706"/>
      <w:r>
        <w:rPr>
          <w:rFonts w:asciiTheme="majorEastAsia" w:eastAsiaTheme="majorEastAsia" w:hAnsiTheme="majorEastAsia" w:hint="eastAsia"/>
          <w:b/>
          <w:bCs/>
          <w:szCs w:val="21"/>
        </w:rPr>
        <w:t>52.质疑提出与答复</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52.1提出质疑</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参与政府采购活动的供应商认为自己的权益在采购活动中受到损害的，应当自知道或者应当知道其权益受到损害之日起七个工作日内向采购人、采购代理机构以书面形式提出质疑。</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52.2</w:t>
      </w:r>
      <w:r>
        <w:rPr>
          <w:rFonts w:asciiTheme="majorEastAsia" w:eastAsiaTheme="majorEastAsia" w:hAnsiTheme="majorEastAsia"/>
          <w:szCs w:val="21"/>
        </w:rPr>
        <w:t>法律依据</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《中华人民共和国政府采购法》、《中华人民共和国政府采购法实施条例》、</w:t>
      </w:r>
      <w:r>
        <w:rPr>
          <w:rFonts w:asciiTheme="majorEastAsia" w:eastAsiaTheme="majorEastAsia" w:hAnsiTheme="majorEastAsia"/>
          <w:szCs w:val="21"/>
        </w:rPr>
        <w:t>《</w:t>
      </w:r>
      <w:r>
        <w:rPr>
          <w:rFonts w:asciiTheme="majorEastAsia" w:eastAsiaTheme="majorEastAsia" w:hAnsiTheme="majorEastAsia" w:hint="eastAsia"/>
          <w:szCs w:val="21"/>
        </w:rPr>
        <w:t>深圳经济特区政府采购</w:t>
      </w:r>
      <w:r>
        <w:rPr>
          <w:rFonts w:asciiTheme="majorEastAsia" w:eastAsiaTheme="majorEastAsia" w:hAnsiTheme="majorEastAsia"/>
          <w:szCs w:val="21"/>
        </w:rPr>
        <w:t>条例</w:t>
      </w:r>
      <w:r>
        <w:rPr>
          <w:rFonts w:asciiTheme="majorEastAsia" w:eastAsiaTheme="majorEastAsia" w:hAnsiTheme="majorEastAsia" w:hint="eastAsia"/>
          <w:szCs w:val="21"/>
        </w:rPr>
        <w:t>》、《深圳经济特区政府采购条例实施细则》、《政府采购质疑和投诉办法》（财政部令第94号）和其他有关法律法规规定。</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52.3质疑条件</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52.3.1提出质疑的供应商应当是参与所质疑项目采购活动的供应商；</w:t>
      </w:r>
      <w:bookmarkStart w:id="82" w:name="_Hlk75374941"/>
      <w:r>
        <w:rPr>
          <w:rFonts w:asciiTheme="majorEastAsia" w:eastAsiaTheme="majorEastAsia" w:hAnsiTheme="majorEastAsia" w:hint="eastAsia"/>
          <w:szCs w:val="21"/>
        </w:rPr>
        <w:t>以联合体形式参与的，质疑应当由组成联合体的所有成员共同提出</w:t>
      </w:r>
      <w:bookmarkEnd w:id="82"/>
      <w:r>
        <w:rPr>
          <w:rFonts w:asciiTheme="majorEastAsia" w:eastAsiaTheme="majorEastAsia" w:hAnsiTheme="majorEastAsia" w:hint="eastAsia"/>
          <w:szCs w:val="21"/>
        </w:rPr>
        <w:t>；</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spacing w:line="360" w:lineRule="auto"/>
        <w:ind w:firstLine="420"/>
        <w:rPr>
          <w:rFonts w:asciiTheme="majorEastAsia" w:eastAsiaTheme="majorEastAsia" w:hAnsiTheme="majorEastAsia"/>
          <w:szCs w:val="21"/>
        </w:rPr>
      </w:pPr>
      <w:r>
        <w:rPr>
          <w:rFonts w:asciiTheme="majorEastAsia" w:eastAsiaTheme="majorEastAsia" w:hAnsiTheme="majorEastAsia" w:hint="eastAsia"/>
          <w:szCs w:val="21"/>
        </w:rPr>
        <w:t>52.3.3应提交书面质疑函，质疑函应当包括以下内容：</w:t>
      </w:r>
    </w:p>
    <w:p>
      <w:pPr>
        <w:spacing w:line="360" w:lineRule="auto"/>
        <w:ind w:firstLine="420"/>
        <w:rPr>
          <w:rFonts w:asciiTheme="majorEastAsia" w:eastAsiaTheme="majorEastAsia" w:hAnsiTheme="majorEastAsia"/>
          <w:szCs w:val="21"/>
        </w:rPr>
      </w:pPr>
      <w:r>
        <w:rPr>
          <w:rFonts w:asciiTheme="majorEastAsia" w:eastAsiaTheme="majorEastAsia" w:hAnsiTheme="majorEastAsia" w:hint="eastAsia"/>
          <w:szCs w:val="21"/>
        </w:rPr>
        <w:t>（1）供应商的名称（或者姓名）、地址、邮编、邮箱、联系人及联系电话；</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（2）质疑项目的名称、编号；</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（3）具体、明确的质疑对象、质疑事项和质疑请求；</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（4）因质疑事项而受损害的权益；</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（5）事实依据；</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（6）必要的法律依据；</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（7）提出质疑的日期。</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供应商为自然人的，应当由本人签字；供应商为法人或者其他组织的，应当由法定代表人（负责人），或者其授权代理人签字或者盖章，并加盖公章。</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52.4提交</w:t>
      </w:r>
      <w:r>
        <w:rPr>
          <w:rFonts w:asciiTheme="majorEastAsia" w:eastAsiaTheme="majorEastAsia" w:hAnsiTheme="majorEastAsia"/>
          <w:szCs w:val="21"/>
        </w:rPr>
        <w:t>材料</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供应商可以委托代理人进行质疑。</w:t>
      </w:r>
      <w:r>
        <w:rPr>
          <w:rFonts w:asciiTheme="majorEastAsia" w:eastAsiaTheme="majorEastAsia" w:hAnsiTheme="maj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52.5提交方式</w:t>
      </w:r>
    </w:p>
    <w:p>
      <w:pPr>
        <w:spacing w:line="360" w:lineRule="auto"/>
        <w:ind w:firstLine="420"/>
        <w:rPr>
          <w:rFonts w:asciiTheme="majorEastAsia" w:eastAsiaTheme="majorEastAsia" w:hAnsiTheme="majorEastAsia"/>
          <w:szCs w:val="21"/>
        </w:rPr>
      </w:pPr>
      <w:r>
        <w:rPr>
          <w:rFonts w:asciiTheme="majorEastAsia" w:eastAsiaTheme="majorEastAsia" w:hAnsiTheme="majorEastAsia" w:hint="eastAsia"/>
          <w:szCs w:val="21"/>
        </w:rPr>
        <w:t>5</w:t>
      </w:r>
      <w:r>
        <w:rPr>
          <w:rFonts w:asciiTheme="majorEastAsia" w:eastAsiaTheme="majorEastAsia" w:hAnsiTheme="majorEastAsia"/>
          <w:szCs w:val="21"/>
        </w:rPr>
        <w:t>2.5.1</w:t>
      </w:r>
      <w:r>
        <w:rPr>
          <w:rFonts w:asciiTheme="majorEastAsia" w:eastAsiaTheme="majorEastAsia" w:hAnsiTheme="majorEastAsia" w:hint="eastAsia"/>
          <w:szCs w:val="21"/>
        </w:rPr>
        <w:t>供应商登录“深圳政府采购智慧平台用户网上办事子系统（http://zfcg.szggzy.com/TPBidder/memberLogin）”，在“【我的项目】→【项目流程】→【质疑】”中提出质疑。</w:t>
      </w:r>
    </w:p>
    <w:p>
      <w:pPr>
        <w:spacing w:line="360" w:lineRule="auto"/>
        <w:ind w:firstLine="420" w:firstLineChars="200"/>
        <w:rPr>
          <w:rFonts w:asciiTheme="majorEastAsia" w:eastAsiaTheme="majorEastAsia" w:hAnsiTheme="majorEastAsia"/>
          <w:b/>
          <w:bCs/>
          <w:szCs w:val="21"/>
        </w:rPr>
      </w:pPr>
      <w:r>
        <w:rPr>
          <w:rFonts w:asciiTheme="majorEastAsia" w:eastAsiaTheme="majorEastAsia" w:hAnsiTheme="majorEastAsia" w:hint="eastAsia"/>
          <w:szCs w:val="21"/>
        </w:rPr>
        <w:t>5</w:t>
      </w:r>
      <w:r>
        <w:rPr>
          <w:rFonts w:asciiTheme="majorEastAsia" w:eastAsiaTheme="majorEastAsia" w:hAnsiTheme="majorEastAsia"/>
          <w:szCs w:val="21"/>
        </w:rPr>
        <w:t>2.5.2</w:t>
      </w:r>
      <w:r>
        <w:rPr>
          <w:rFonts w:asciiTheme="majorEastAsia" w:eastAsiaTheme="majorEastAsia" w:hAnsiTheme="majorEastAsia" w:hint="eastAsia"/>
          <w:szCs w:val="21"/>
        </w:rPr>
        <w:t>同时，请质疑供应商根据深圳政府采购智慧平台（http://zfcg.szggzy.com/）所发布的质疑指引、质疑函模板填写质疑函并提交质疑材料。</w:t>
      </w:r>
      <w:r>
        <w:rPr>
          <w:rFonts w:asciiTheme="majorEastAsia" w:eastAsiaTheme="majorEastAsia" w:hAnsiTheme="majorEastAsia" w:hint="eastAsia"/>
          <w:bCs/>
          <w:szCs w:val="21"/>
        </w:rPr>
        <w:t>地址：深圳市中正招标有限公司（深圳市福田区民田路171号新华保险大厦903），质疑咨询电话：0755-83026699。</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52.6收文办理</w:t>
      </w:r>
      <w:r>
        <w:rPr>
          <w:rFonts w:asciiTheme="majorEastAsia" w:eastAsiaTheme="majorEastAsia" w:hAnsiTheme="majorEastAsia"/>
          <w:szCs w:val="21"/>
        </w:rPr>
        <w:t>程序</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52.6.2供应商提交的质疑材料不符合质疑条件的，视情况处理：</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供应商提交的质疑材料不全或者未按要求签字或者盖章的，采购代理机构应当一次性告知供应商需补正的内容和补正期限。</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供应商提交的质疑存在下列情形之一的，不予受理：</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（1）质疑主体不满足要求的；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（2）供应商自身权益未受到损害的；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（3）供应商未在法定质疑期限内提出质疑的；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（4）质疑材料不全或者未按要求签字或者盖章的情况下，要求补正后，逾期未补正或者补正后仍不符合规定的；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（5）其他不符合受理条件情形的。</w:t>
      </w:r>
    </w:p>
    <w:p>
      <w:pPr>
        <w:spacing w:line="360" w:lineRule="auto"/>
        <w:ind w:firstLine="420" w:firstLineChars="200"/>
        <w:rPr>
          <w:rFonts w:asciiTheme="majorEastAsia" w:eastAsiaTheme="majorEastAsia" w:hAnsiTheme="majorEastAsia"/>
          <w:szCs w:val="21"/>
        </w:rPr>
      </w:pPr>
      <w:r>
        <w:rPr>
          <w:rFonts w:asciiTheme="majorEastAsia" w:eastAsiaTheme="majorEastAsia" w:hAnsiTheme="majorEastAsia" w:hint="eastAsia"/>
          <w:szCs w:val="21"/>
        </w:rPr>
        <w:t>质疑事项不予受理的，采购代理机构应当向供应商出具不符合质疑条件告知书。</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52.7质疑答复时限</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自收文之日起七个工作日内。</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52.8投诉</w:t>
      </w:r>
    </w:p>
    <w:p>
      <w:pPr>
        <w:spacing w:line="360" w:lineRule="auto"/>
        <w:rPr>
          <w:rFonts w:asciiTheme="majorEastAsia" w:eastAsiaTheme="majorEastAsia" w:hAnsiTheme="majorEastAsia"/>
          <w:szCs w:val="21"/>
        </w:rPr>
      </w:pPr>
      <w:r>
        <w:rPr>
          <w:rFonts w:asciiTheme="majorEastAsia" w:eastAsiaTheme="majorEastAsia" w:hAnsiTheme="majorEastAsia" w:hint="eastAsia"/>
          <w:szCs w:val="21"/>
        </w:rPr>
        <w:t xml:space="preserve">    对质疑答复不满意或者未在规定时间内答复的，提出质疑的供应商可以在答复期满后15个工作日内向同级财政部门投诉。</w:t>
      </w:r>
      <w:bookmarkEnd w:id="81"/>
    </w:p>
    <w:p>
      <w:pPr>
        <w:widowControl/>
        <w:jc w:val="left"/>
        <w:rPr>
          <w:rFonts w:ascii="宋体" w:hAnsi="宋体"/>
          <w:b/>
          <w:bCs/>
          <w:kern w:val="0"/>
          <w:sz w:val="24"/>
          <w:szCs w:val="20"/>
        </w:rPr>
      </w:pPr>
    </w:p>
    <w:sectPr>
      <w:pgSz w:w="11906" w:h="16838"/>
      <w:pgMar w:top="1440" w:right="1417" w:bottom="1440" w:left="1417"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40001" w:csb1="00000000"/>
  </w:font>
  <w:font w:name="ˎ̥">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Arial (W1)">
    <w:altName w:val="Arial"/>
    <w:panose1 w:val="00000000000000000000"/>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38497"/>
      <w:richText/>
    </w:sdtPr>
    <w:sdtContent>
      <w:p>
        <w:pPr>
          <w:pStyle w:val="Footer"/>
          <w:jc w:val="center"/>
        </w:pPr>
        <w:r>
          <w:fldChar w:fldCharType="begin"/>
        </w:r>
        <w:r>
          <w:instrText xml:space="preserve"> PAGE   \* MERGEFORMAT </w:instrText>
        </w:r>
        <w:r>
          <w:fldChar w:fldCharType="separate"/>
        </w:r>
        <w:r>
          <w:rPr>
            <w:lang w:val="zh-CN"/>
          </w:rPr>
          <w:t>77</w:t>
        </w:r>
        <w:r>
          <w:rPr>
            <w:lang w:val="zh-CN"/>
          </w:rP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79EBD1A"/>
    <w:multiLevelType w:val="singleLevel"/>
    <w:tmpl w:val="979EBD1A"/>
    <w:lvl w:ilvl="0">
      <w:start w:val="5"/>
      <w:numFmt w:val="decimal"/>
      <w:suff w:val="nothing"/>
      <w:lvlText w:val="%1、"/>
      <w:lvlJc w:val="left"/>
    </w:lvl>
  </w:abstractNum>
  <w:abstractNum w:abstractNumId="1">
    <w:nsid w:val="F354BDC7"/>
    <w:multiLevelType w:val="singleLevel"/>
    <w:tmpl w:val="F354BDC7"/>
    <w:lvl w:ilvl="0">
      <w:start w:val="1"/>
      <w:numFmt w:val="chineseCounting"/>
      <w:suff w:val="nothing"/>
      <w:lvlText w:val="（%1）"/>
      <w:lvlJc w:val="left"/>
      <w:rPr>
        <w:rFonts w:hint="eastAsia"/>
      </w:rPr>
    </w:lvl>
  </w:abstractNum>
  <w:abstractNum w:abstractNumId="2">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FC792C1"/>
    <w:multiLevelType w:val="singleLevel"/>
    <w:tmpl w:val="4FC792C1"/>
    <w:lvl w:ilvl="0">
      <w:start w:val="1"/>
      <w:numFmt w:val="chineseCounting"/>
      <w:suff w:val="nothing"/>
      <w:lvlText w:val="（%1）"/>
      <w:lvlJc w:val="left"/>
      <w:rPr>
        <w:rFonts w:hint="eastAsia"/>
      </w:rPr>
    </w:lvl>
  </w:abstractNum>
  <w:abstractNum w:abstractNumId="4">
    <w:nsid w:val="72B3E98C"/>
    <w:multiLevelType w:val="singleLevel"/>
    <w:tmpl w:val="72B3E98C"/>
    <w:lvl w:ilvl="0">
      <w:start w:val="2"/>
      <w:numFmt w:val="decimal"/>
      <w:lvlText w:val="%1."/>
      <w:lvlJc w:val="left"/>
      <w:pPr>
        <w:tabs>
          <w:tab w:val="left" w:pos="312"/>
        </w:tabs>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10"/>
  <w:trackRevision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2YmRlNDU3NGEzNjI1NDQyMDllNWVlNzk1MzhhMzI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unhideWhenUsed="0" w:qFormat="1"/>
    <w:lsdException w:name="index 2"/>
    <w:lsdException w:name="index 3"/>
    <w:lsdException w:name="index 4"/>
    <w:lsdException w:name="index 5"/>
    <w:lsdException w:name="index 6"/>
    <w:lsdException w:name="index 7"/>
    <w:lsdException w:name="index 8"/>
    <w:lsdException w:name="index 9"/>
    <w:lsdException w:name="toc 1" w:semiHidden="0" w:uiPriority="0" w:unhideWhenUsed="0" w:qFormat="1"/>
    <w:lsdException w:name="toc 2" w:semiHidden="0" w:uiPriority="0" w:unhideWhenUsed="0" w:qFormat="1"/>
    <w:lsdException w:name="toc 3" w:uiPriority="0" w:unhideWhenUsed="0" w:qFormat="1"/>
    <w:lsdException w:name="toc 4" w:uiPriority="0" w:unhideWhenUsed="0" w:qFormat="1"/>
    <w:lsdException w:name="toc 5" w:uiPriority="0" w:unhideWhenUsed="0" w:qFormat="1"/>
    <w:lsdException w:name="toc 6" w:uiPriority="0" w:unhideWhenUsed="0" w:qFormat="1"/>
    <w:lsdException w:name="toc 7" w:uiPriority="0" w:unhideWhenUsed="0" w:qFormat="1"/>
    <w:lsdException w:name="toc 8" w:uiPriority="0" w:unhideWhenUsed="0" w:qFormat="1"/>
    <w:lsdException w:name="toc 9" w:uiPriority="0" w:unhideWhenUsed="0" w:qFormat="1"/>
    <w:lsdException w:name="Normal Indent" w:semiHidden="0" w:uiPriority="0" w:unhideWhenUsed="0" w:qFormat="1"/>
    <w:lsdException w:name="footnote text"/>
    <w:lsdException w:name="annotation text" w:semiHidden="0" w:uiPriority="0" w:unhideWhenUsed="0" w:qFormat="1"/>
    <w:lsdException w:name="header" w:semiHidden="0" w:qFormat="1"/>
    <w:lsdException w:name="footer" w:semiHidden="0" w:qFormat="1"/>
    <w:lsdException w:name="index heading"/>
    <w:lsdException w:name="caption" w:semiHidden="0" w:uiPriority="0" w:unhideWhenUsed="0" w:qFormat="1"/>
    <w:lsdException w:name="table of figures"/>
    <w:lsdException w:name="envelope address"/>
    <w:lsdException w:name="envelope return"/>
    <w:lsdException w:name="footnote reference"/>
    <w:lsdException w:name="annotation reference" w:semiHidden="0" w:uiPriority="0" w:unhideWhenUsed="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semiHidden="0" w:uiPriority="0" w:unhideWhenUsed="0" w:qFormat="1"/>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semiHidden="0" w:uiPriority="0" w:unhideWhenUsed="0" w:qFormat="1"/>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semiHidden="0" w:uiPriority="0" w:unhideWhenUsed="0" w:qFormat="1"/>
    <w:lsdException w:name="Body Text First Indent" w:semiHidden="0" w:uiPriority="0" w:unhideWhenUsed="0" w:qFormat="1"/>
    <w:lsdException w:name="Body Text First Indent 2"/>
    <w:lsdException w:name="Body Text 2" w:semiHidden="0" w:uiPriority="0"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lsdException w:name="Hyperlink" w:semiHidden="0" w:uiPriority="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semiHidden="0" w:uiPriority="0" w:unhideWhenUsed="0" w:qFormat="1"/>
    <w:lsdException w:name="HTML Sample"/>
    <w:lsdException w:name="HTML Typewriter"/>
    <w:lsdException w:name="HTML Variable"/>
    <w:lsdException w:name="Normal Table" w:qFormat="1"/>
    <w:lsdException w:name="annotation subject" w:semiHidden="0"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iPriority="0"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Heading3"/>
    <w:next w:val="Normal"/>
    <w:link w:val="1Char"/>
    <w:uiPriority w:val="9"/>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qFormat/>
    <w:pPr>
      <w:adjustRightInd w:val="0"/>
      <w:jc w:val="center"/>
      <w:textAlignment w:val="baseline"/>
      <w:outlineLvl w:val="1"/>
    </w:pPr>
    <w:rPr>
      <w:sz w:val="24"/>
      <w:szCs w:val="20"/>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pPr>
      <w:keepNext/>
      <w:keepLines/>
      <w:spacing w:before="280" w:after="290" w:line="376" w:lineRule="auto"/>
      <w:outlineLvl w:val="3"/>
    </w:pPr>
    <w:rPr>
      <w:rFonts w:ascii="Arial" w:eastAsia="黑体" w:hAnsi="Arial"/>
      <w:b/>
      <w:bCs/>
      <w:kern w:val="0"/>
      <w:sz w:val="28"/>
      <w:szCs w:val="28"/>
    </w:rPr>
  </w:style>
  <w:style w:type="paragraph" w:styleId="Heading5">
    <w:name w:val="heading 5"/>
    <w:basedOn w:val="Normal"/>
    <w:next w:val="NormalIndent"/>
    <w:link w:val="5Char"/>
    <w:qFormat/>
    <w:pPr>
      <w:keepNext/>
      <w:keepLines/>
      <w:spacing w:before="280" w:after="290" w:line="376" w:lineRule="auto"/>
      <w:outlineLvl w:val="4"/>
    </w:pPr>
    <w:rPr>
      <w:rFonts w:ascii="Times New Roman" w:hAnsi="Times New Roman"/>
      <w:b/>
      <w:kern w:val="0"/>
      <w:sz w:val="28"/>
      <w:szCs w:val="20"/>
    </w:rPr>
  </w:style>
  <w:style w:type="paragraph" w:styleId="Heading6">
    <w:name w:val="heading 6"/>
    <w:basedOn w:val="Normal"/>
    <w:next w:val="NormalIndent"/>
    <w:link w:val="6Char"/>
    <w:qFormat/>
    <w:pPr>
      <w:keepNext/>
      <w:keepLines/>
      <w:spacing w:before="240" w:after="64" w:line="320" w:lineRule="auto"/>
      <w:outlineLvl w:val="5"/>
    </w:pPr>
    <w:rPr>
      <w:rFonts w:ascii="Arial" w:eastAsia="黑体" w:hAnsi="Arial"/>
      <w:b/>
      <w:kern w:val="0"/>
      <w:sz w:val="24"/>
      <w:szCs w:val="20"/>
    </w:rPr>
  </w:style>
  <w:style w:type="paragraph" w:styleId="Heading7">
    <w:name w:val="heading 7"/>
    <w:basedOn w:val="Normal"/>
    <w:next w:val="NormalIndent"/>
    <w:link w:val="7Char"/>
    <w:qFormat/>
    <w:pPr>
      <w:keepNext/>
      <w:keepLines/>
      <w:spacing w:before="240" w:after="64" w:line="320" w:lineRule="auto"/>
      <w:outlineLvl w:val="6"/>
    </w:pPr>
    <w:rPr>
      <w:rFonts w:ascii="Times New Roman" w:hAnsi="Times New Roman"/>
      <w:b/>
      <w:kern w:val="0"/>
      <w:sz w:val="24"/>
      <w:szCs w:val="20"/>
    </w:rPr>
  </w:style>
  <w:style w:type="paragraph" w:styleId="Heading8">
    <w:name w:val="heading 8"/>
    <w:basedOn w:val="Normal"/>
    <w:next w:val="NormalIndent"/>
    <w:link w:val="8Char"/>
    <w:qFormat/>
    <w:pPr>
      <w:keepNext/>
      <w:keepLines/>
      <w:spacing w:before="240" w:after="64" w:line="320" w:lineRule="auto"/>
      <w:outlineLvl w:val="7"/>
    </w:pPr>
    <w:rPr>
      <w:rFonts w:ascii="Arial" w:eastAsia="黑体" w:hAnsi="Arial"/>
      <w:kern w:val="0"/>
      <w:sz w:val="24"/>
      <w:szCs w:val="20"/>
    </w:rPr>
  </w:style>
  <w:style w:type="paragraph" w:styleId="Heading9">
    <w:name w:val="heading 9"/>
    <w:basedOn w:val="Normal"/>
    <w:next w:val="NormalIndent"/>
    <w:link w:val="9Char"/>
    <w:qFormat/>
    <w:pPr>
      <w:keepNext/>
      <w:keepLines/>
      <w:spacing w:before="240" w:after="64" w:line="320" w:lineRule="auto"/>
      <w:outlineLvl w:val="8"/>
    </w:pPr>
    <w:rPr>
      <w:rFonts w:ascii="Arial" w:eastAsia="黑体" w:hAnsi="Arial"/>
      <w:kern w:val="0"/>
      <w:sz w:val="20"/>
      <w:szCs w:val="20"/>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BodyText2"/>
    <w:link w:val="Char20"/>
    <w:qFormat/>
    <w:pPr>
      <w:spacing w:line="360" w:lineRule="auto"/>
    </w:pPr>
    <w:rPr>
      <w:rFonts w:ascii="Times New Roman" w:hAnsi="Times New Roman"/>
      <w:b/>
      <w:bCs/>
      <w:kern w:val="0"/>
      <w:sz w:val="24"/>
      <w:szCs w:val="24"/>
    </w:rPr>
  </w:style>
  <w:style w:type="paragraph" w:styleId="BodyText2">
    <w:name w:val="Body Text 2"/>
    <w:basedOn w:val="Normal"/>
    <w:link w:val="2Char11"/>
    <w:qFormat/>
    <w:pPr>
      <w:spacing w:line="360" w:lineRule="auto"/>
    </w:pPr>
    <w:rPr>
      <w:rFonts w:ascii="Times New Roman" w:hAnsi="Times New Roman"/>
      <w:kern w:val="0"/>
      <w:sz w:val="24"/>
      <w:szCs w:val="24"/>
    </w:rPr>
  </w:style>
  <w:style w:type="paragraph" w:styleId="NormalIndent">
    <w:name w:val="Normal Indent"/>
    <w:basedOn w:val="Normal"/>
    <w:link w:val="Char4"/>
    <w:qFormat/>
    <w:pPr>
      <w:ind w:firstLine="420"/>
    </w:pPr>
    <w:rPr>
      <w:rFonts w:ascii="Times New Roman" w:hAnsi="Times New Roman"/>
      <w:kern w:val="0"/>
      <w:sz w:val="20"/>
      <w:szCs w:val="20"/>
    </w:rPr>
  </w:style>
  <w:style w:type="paragraph" w:styleId="TOC7">
    <w:name w:val="toc 7"/>
    <w:basedOn w:val="Normal"/>
    <w:next w:val="Normal"/>
    <w:semiHidden/>
    <w:qFormat/>
    <w:pPr>
      <w:ind w:left="1260"/>
      <w:jc w:val="left"/>
    </w:pPr>
    <w:rPr>
      <w:rFonts w:ascii="Times New Roman" w:hAnsi="Times New Roman"/>
      <w:szCs w:val="21"/>
    </w:rPr>
  </w:style>
  <w:style w:type="paragraph" w:styleId="Caption">
    <w:name w:val="caption"/>
    <w:basedOn w:val="Normal"/>
    <w:next w:val="Normal"/>
    <w:qFormat/>
    <w:pPr>
      <w:widowControl/>
      <w:spacing w:line="360" w:lineRule="auto"/>
      <w:ind w:firstLine="1940" w:firstLineChars="920"/>
      <w:jc w:val="left"/>
    </w:pPr>
    <w:rPr>
      <w:rFonts w:ascii="宋体" w:hAnsi="宋体"/>
      <w:b/>
      <w:bCs/>
      <w:kern w:val="0"/>
      <w:sz w:val="20"/>
      <w:szCs w:val="20"/>
    </w:rPr>
  </w:style>
  <w:style w:type="paragraph" w:styleId="ListBullet">
    <w:name w:val="List Bullet"/>
    <w:basedOn w:val="Normal"/>
    <w:qFormat/>
    <w:pPr>
      <w:tabs>
        <w:tab w:val="left" w:pos="360"/>
      </w:tabs>
      <w:ind w:left="360" w:hanging="360"/>
    </w:pPr>
    <w:rPr>
      <w:rFonts w:ascii="Times New Roman" w:hAnsi="Times New Roman"/>
      <w:szCs w:val="20"/>
    </w:rPr>
  </w:style>
  <w:style w:type="paragraph" w:styleId="DocumentMap">
    <w:name w:val="Document Map"/>
    <w:basedOn w:val="Normal"/>
    <w:link w:val="Char17"/>
    <w:semiHidden/>
    <w:qFormat/>
    <w:pPr>
      <w:shd w:val="clear" w:color="auto" w:fill="000080"/>
    </w:pPr>
    <w:rPr>
      <w:rFonts w:ascii="Times New Roman" w:hAnsi="Times New Roman"/>
      <w:kern w:val="0"/>
      <w:sz w:val="20"/>
      <w:szCs w:val="24"/>
    </w:rPr>
  </w:style>
  <w:style w:type="paragraph" w:styleId="CommentText">
    <w:name w:val="annotation text"/>
    <w:basedOn w:val="Normal"/>
    <w:link w:val="Char110"/>
    <w:qFormat/>
    <w:pPr>
      <w:autoSpaceDE w:val="0"/>
      <w:autoSpaceDN w:val="0"/>
      <w:adjustRightInd w:val="0"/>
      <w:jc w:val="left"/>
      <w:textAlignment w:val="baseline"/>
    </w:pPr>
    <w:rPr>
      <w:rFonts w:ascii="宋体" w:hAnsi="Times New Roman"/>
      <w:kern w:val="0"/>
      <w:sz w:val="34"/>
      <w:szCs w:val="20"/>
    </w:rPr>
  </w:style>
  <w:style w:type="paragraph" w:styleId="BodyText3">
    <w:name w:val="Body Text 3"/>
    <w:basedOn w:val="Normal"/>
    <w:link w:val="3Char10"/>
    <w:qFormat/>
    <w:pPr>
      <w:spacing w:after="120"/>
    </w:pPr>
    <w:rPr>
      <w:rFonts w:ascii="Times New Roman" w:hAnsi="Times New Roman"/>
      <w:kern w:val="0"/>
      <w:sz w:val="16"/>
      <w:szCs w:val="16"/>
    </w:rPr>
  </w:style>
  <w:style w:type="paragraph" w:styleId="BodyTextIndent">
    <w:name w:val="Body Text Indent"/>
    <w:basedOn w:val="Normal"/>
    <w:link w:val="Char19"/>
    <w:qFormat/>
    <w:pPr>
      <w:spacing w:line="360" w:lineRule="auto"/>
      <w:ind w:firstLine="420" w:firstLineChars="200"/>
    </w:pPr>
    <w:rPr>
      <w:rFonts w:ascii="Times New Roman" w:hAnsi="Times New Roman"/>
      <w:kern w:val="0"/>
      <w:sz w:val="20"/>
      <w:szCs w:val="24"/>
    </w:rPr>
  </w:style>
  <w:style w:type="paragraph" w:styleId="TOC5">
    <w:name w:val="toc 5"/>
    <w:basedOn w:val="Normal"/>
    <w:next w:val="Normal"/>
    <w:semiHidden/>
    <w:qFormat/>
    <w:pPr>
      <w:ind w:left="840"/>
      <w:jc w:val="left"/>
    </w:pPr>
    <w:rPr>
      <w:rFonts w:ascii="Times New Roman" w:hAnsi="Times New Roman"/>
      <w:szCs w:val="21"/>
    </w:rPr>
  </w:style>
  <w:style w:type="paragraph" w:styleId="TOC3">
    <w:name w:val="toc 3"/>
    <w:basedOn w:val="Normal"/>
    <w:next w:val="Normal"/>
    <w:semiHidden/>
    <w:qFormat/>
    <w:pPr>
      <w:ind w:left="420"/>
      <w:jc w:val="left"/>
    </w:pPr>
    <w:rPr>
      <w:rFonts w:ascii="Times New Roman" w:hAnsi="Times New Roman"/>
      <w:i/>
      <w:iCs/>
      <w:szCs w:val="24"/>
    </w:rPr>
  </w:style>
  <w:style w:type="paragraph" w:styleId="PlainText">
    <w:name w:val="Plain Text"/>
    <w:basedOn w:val="Normal"/>
    <w:link w:val="Char16"/>
    <w:qFormat/>
    <w:rPr>
      <w:rFonts w:ascii="宋体" w:hAnsi="Courier New"/>
      <w:kern w:val="0"/>
      <w:sz w:val="20"/>
      <w:szCs w:val="20"/>
    </w:rPr>
  </w:style>
  <w:style w:type="paragraph" w:styleId="TOC8">
    <w:name w:val="toc 8"/>
    <w:basedOn w:val="Normal"/>
    <w:next w:val="Normal"/>
    <w:semiHidden/>
    <w:qFormat/>
    <w:pPr>
      <w:ind w:left="1470"/>
      <w:jc w:val="left"/>
    </w:pPr>
    <w:rPr>
      <w:rFonts w:ascii="Times New Roman" w:hAnsi="Times New Roman"/>
      <w:szCs w:val="21"/>
    </w:rPr>
  </w:style>
  <w:style w:type="paragraph" w:styleId="Date">
    <w:name w:val="Date"/>
    <w:basedOn w:val="Normal"/>
    <w:next w:val="Normal"/>
    <w:link w:val="Char18"/>
    <w:qFormat/>
    <w:rPr>
      <w:rFonts w:ascii="宋体" w:hAnsi="Courier New"/>
      <w:kern w:val="0"/>
      <w:sz w:val="32"/>
      <w:szCs w:val="20"/>
    </w:rPr>
  </w:style>
  <w:style w:type="paragraph" w:styleId="BodyTextIndent2">
    <w:name w:val="Body Text Indent 2"/>
    <w:basedOn w:val="Normal"/>
    <w:link w:val="2Char10"/>
    <w:qFormat/>
    <w:pPr>
      <w:spacing w:beforeLines="50" w:afterLines="50" w:line="120" w:lineRule="auto"/>
      <w:ind w:firstLine="840" w:firstLineChars="400"/>
      <w:jc w:val="left"/>
    </w:pPr>
    <w:rPr>
      <w:rFonts w:ascii="宋体" w:hAnsi="宋体"/>
      <w:kern w:val="0"/>
      <w:sz w:val="20"/>
      <w:szCs w:val="24"/>
    </w:rPr>
  </w:style>
  <w:style w:type="paragraph" w:styleId="BalloonText">
    <w:name w:val="Balloon Text"/>
    <w:basedOn w:val="Normal"/>
    <w:link w:val="Char111"/>
    <w:uiPriority w:val="99"/>
    <w:qFormat/>
    <w:rPr>
      <w:rFonts w:ascii="Times New Roman" w:hAnsi="Times New Roman"/>
      <w:kern w:val="0"/>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qFormat/>
    <w:pPr>
      <w:spacing w:before="120" w:after="120"/>
      <w:jc w:val="left"/>
    </w:pPr>
    <w:rPr>
      <w:rFonts w:ascii="Times New Roman" w:hAnsi="Times New Roman"/>
      <w:b/>
      <w:bCs/>
      <w:caps/>
      <w:szCs w:val="24"/>
    </w:rPr>
  </w:style>
  <w:style w:type="paragraph" w:styleId="TOC4">
    <w:name w:val="toc 4"/>
    <w:basedOn w:val="Normal"/>
    <w:next w:val="Normal"/>
    <w:semiHidden/>
    <w:qFormat/>
    <w:pPr>
      <w:ind w:left="630"/>
      <w:jc w:val="left"/>
    </w:pPr>
    <w:rPr>
      <w:rFonts w:ascii="Times New Roman" w:hAnsi="Times New Roman"/>
      <w:szCs w:val="21"/>
    </w:rPr>
  </w:style>
  <w:style w:type="paragraph" w:styleId="TOC6">
    <w:name w:val="toc 6"/>
    <w:basedOn w:val="Normal"/>
    <w:next w:val="Normal"/>
    <w:semiHidden/>
    <w:qFormat/>
    <w:pPr>
      <w:ind w:left="1050"/>
      <w:jc w:val="left"/>
    </w:pPr>
    <w:rPr>
      <w:rFonts w:ascii="Times New Roman" w:hAnsi="Times New Roman"/>
      <w:szCs w:val="21"/>
    </w:rPr>
  </w:style>
  <w:style w:type="paragraph" w:styleId="BodyTextIndent3">
    <w:name w:val="Body Text Indent 3"/>
    <w:basedOn w:val="Normal"/>
    <w:link w:val="3Char11"/>
    <w:qFormat/>
    <w:pPr>
      <w:spacing w:line="360" w:lineRule="auto"/>
      <w:ind w:firstLine="482" w:firstLineChars="200"/>
    </w:pPr>
    <w:rPr>
      <w:rFonts w:ascii="宋体" w:hAnsi="Times New Roman"/>
      <w:b/>
      <w:bCs/>
      <w:kern w:val="0"/>
      <w:sz w:val="24"/>
      <w:szCs w:val="24"/>
    </w:rPr>
  </w:style>
  <w:style w:type="paragraph" w:styleId="TOC2">
    <w:name w:val="toc 2"/>
    <w:basedOn w:val="Normal"/>
    <w:next w:val="Normal"/>
    <w:qFormat/>
    <w:pPr>
      <w:tabs>
        <w:tab w:val="right" w:leader="dot" w:pos="8296"/>
      </w:tabs>
      <w:ind w:left="210"/>
      <w:jc w:val="left"/>
    </w:pPr>
    <w:rPr>
      <w:rFonts w:ascii="Times New Roman" w:hAnsi="Times New Roman"/>
      <w:smallCaps/>
      <w:szCs w:val="24"/>
    </w:rPr>
  </w:style>
  <w:style w:type="paragraph" w:styleId="TOC9">
    <w:name w:val="toc 9"/>
    <w:basedOn w:val="Normal"/>
    <w:next w:val="Normal"/>
    <w:semiHidden/>
    <w:qFormat/>
    <w:pPr>
      <w:ind w:left="1680"/>
      <w:jc w:val="left"/>
    </w:pPr>
    <w:rPr>
      <w:rFonts w:ascii="Times New Roman" w:hAnsi="Times New Roman"/>
      <w:szCs w:val="21"/>
    </w:rPr>
  </w:style>
  <w:style w:type="paragraph" w:styleId="HTMLPreformatted">
    <w:name w:val="HTML Preformatted"/>
    <w:basedOn w:val="Normal"/>
    <w:link w:val="HTMLChar1"/>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szCs w:val="24"/>
    </w:rPr>
  </w:style>
  <w:style w:type="paragraph" w:styleId="Index1">
    <w:name w:val="index 1"/>
    <w:basedOn w:val="Normal"/>
    <w:next w:val="Normal"/>
    <w:semiHidden/>
    <w:qFormat/>
    <w:pPr>
      <w:tabs>
        <w:tab w:val="left" w:pos="3360"/>
      </w:tabs>
      <w:spacing w:line="520" w:lineRule="exact"/>
      <w:ind w:left="419" w:hanging="314" w:leftChars="50" w:hangingChars="131"/>
      <w:jc w:val="center"/>
      <w:outlineLvl w:val="3"/>
    </w:pPr>
    <w:rPr>
      <w:rFonts w:ascii="宋体" w:hAnsi="宋体"/>
      <w:sz w:val="24"/>
      <w:szCs w:val="24"/>
    </w:rPr>
  </w:style>
  <w:style w:type="paragraph" w:styleId="Title">
    <w:name w:val="Title"/>
    <w:basedOn w:val="Normal"/>
    <w:link w:val="Char112"/>
    <w:qFormat/>
    <w:pPr>
      <w:spacing w:before="240" w:after="60"/>
      <w:jc w:val="center"/>
      <w:outlineLvl w:val="0"/>
    </w:pPr>
    <w:rPr>
      <w:rFonts w:ascii="Arial" w:eastAsia="隶书" w:hAnsi="Arial"/>
      <w:b/>
      <w:bCs/>
      <w:kern w:val="0"/>
      <w:sz w:val="32"/>
      <w:szCs w:val="32"/>
    </w:rPr>
  </w:style>
  <w:style w:type="paragraph" w:styleId="CommentSubject">
    <w:name w:val="annotation subject"/>
    <w:basedOn w:val="CommentText"/>
    <w:next w:val="CommentText"/>
    <w:link w:val="Char113"/>
    <w:uiPriority w:val="99"/>
    <w:qFormat/>
    <w:pPr>
      <w:autoSpaceDE/>
      <w:autoSpaceDN/>
      <w:adjustRightInd/>
      <w:textAlignment w:val="auto"/>
    </w:pPr>
    <w:rPr>
      <w:rFonts w:ascii="Times New Roman"/>
      <w:b/>
      <w:bCs/>
      <w:szCs w:val="24"/>
    </w:rPr>
  </w:style>
  <w:style w:type="paragraph" w:styleId="BodyTextFirstIndent">
    <w:name w:val="Body Text First Indent"/>
    <w:basedOn w:val="BodyText"/>
    <w:link w:val="Char114"/>
    <w:qFormat/>
    <w:pPr>
      <w:spacing w:after="120" w:line="240" w:lineRule="auto"/>
      <w:ind w:firstLine="420" w:firstLineChars="100"/>
    </w:pPr>
    <w:rPr>
      <w:sz w:val="20"/>
    </w:rPr>
  </w:style>
  <w:style w:type="table" w:styleId="TableGrid">
    <w:name w:val="Table Grid"/>
    <w:basedOn w:val="TableNormal"/>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unhideWhenUsed/>
    <w:qFormat/>
    <w:rPr>
      <w:color w:val="800080"/>
      <w:u w:val="single"/>
    </w:rPr>
  </w:style>
  <w:style w:type="character" w:styleId="Hyperlink">
    <w:name w:val="Hyperlink"/>
    <w:basedOn w:val="DefaultParagraphFont"/>
    <w:qFormat/>
    <w:rPr>
      <w:color w:val="0000FF"/>
      <w:u w:val="single"/>
    </w:rPr>
  </w:style>
  <w:style w:type="character" w:styleId="CommentReference">
    <w:name w:val="annotation reference"/>
    <w:qFormat/>
    <w:rPr>
      <w:sz w:val="21"/>
      <w:szCs w:val="21"/>
    </w:rPr>
  </w:style>
  <w:style w:type="paragraph" w:styleId="NoSpacing">
    <w:name w:val="No Spacing"/>
    <w:uiPriority w:val="1"/>
    <w:qFormat/>
    <w:pPr>
      <w:widowControl w:val="0"/>
      <w:jc w:val="both"/>
    </w:pPr>
    <w:rPr>
      <w:rFonts w:ascii="Calibri" w:eastAsia="宋体" w:hAnsi="Calibri" w:cs="Times New Roman"/>
      <w:kern w:val="2"/>
      <w:sz w:val="21"/>
      <w:szCs w:val="22"/>
      <w:lang w:val="en-US" w:eastAsia="zh-CN" w:bidi="ar-SA"/>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1Char">
    <w:name w:val="标题 1 Char"/>
    <w:basedOn w:val="DefaultParagraphFont"/>
    <w:link w:val="Heading1"/>
    <w:uiPriority w:val="9"/>
    <w:qFormat/>
    <w:rPr>
      <w:rFonts w:ascii="宋体" w:eastAsia="黑体" w:hAnsi="宋体" w:cs="Times New Roman"/>
      <w:b/>
      <w:bCs/>
      <w:kern w:val="44"/>
      <w:sz w:val="28"/>
      <w:szCs w:val="44"/>
    </w:rPr>
  </w:style>
  <w:style w:type="character" w:customStyle="1" w:styleId="2Char">
    <w:name w:val="标题 2 Char"/>
    <w:basedOn w:val="DefaultParagraphFont"/>
    <w:link w:val="Heading2"/>
    <w:qFormat/>
    <w:rPr>
      <w:rFonts w:ascii="宋体" w:eastAsia="宋体" w:hAnsi="宋体" w:cs="Times New Roman"/>
      <w:b/>
      <w:bCs/>
      <w:kern w:val="0"/>
      <w:sz w:val="24"/>
      <w:szCs w:val="20"/>
    </w:rPr>
  </w:style>
  <w:style w:type="character" w:customStyle="1" w:styleId="3Char">
    <w:name w:val="标题 3 Char"/>
    <w:basedOn w:val="DefaultParagraphFont"/>
    <w:link w:val="Heading3"/>
    <w:uiPriority w:val="9"/>
    <w:qFormat/>
    <w:rPr>
      <w:rFonts w:ascii="Calibri" w:eastAsia="宋体" w:hAnsi="Calibri" w:cs="Times New Roman"/>
      <w:b/>
      <w:bCs/>
      <w:sz w:val="32"/>
      <w:szCs w:val="32"/>
    </w:rPr>
  </w:style>
  <w:style w:type="character" w:customStyle="1" w:styleId="4Char">
    <w:name w:val="标题 4 Char"/>
    <w:basedOn w:val="DefaultParagraphFont"/>
    <w:link w:val="Heading4"/>
    <w:qFormat/>
    <w:rPr>
      <w:rFonts w:ascii="Arial" w:eastAsia="黑体" w:hAnsi="Arial" w:cs="Times New Roman"/>
      <w:b/>
      <w:bCs/>
      <w:kern w:val="0"/>
      <w:sz w:val="28"/>
      <w:szCs w:val="28"/>
    </w:rPr>
  </w:style>
  <w:style w:type="character" w:customStyle="1" w:styleId="5Char">
    <w:name w:val="标题 5 Char"/>
    <w:basedOn w:val="DefaultParagraphFont"/>
    <w:link w:val="Heading5"/>
    <w:qFormat/>
    <w:rPr>
      <w:rFonts w:ascii="Times New Roman" w:eastAsia="宋体" w:hAnsi="Times New Roman" w:cs="Times New Roman"/>
      <w:b/>
      <w:kern w:val="0"/>
      <w:sz w:val="28"/>
      <w:szCs w:val="20"/>
    </w:rPr>
  </w:style>
  <w:style w:type="character" w:customStyle="1" w:styleId="6Char">
    <w:name w:val="标题 6 Char"/>
    <w:basedOn w:val="DefaultParagraphFont"/>
    <w:link w:val="Heading6"/>
    <w:qFormat/>
    <w:rPr>
      <w:rFonts w:ascii="Arial" w:eastAsia="黑体" w:hAnsi="Arial" w:cs="Times New Roman"/>
      <w:b/>
      <w:kern w:val="0"/>
      <w:sz w:val="24"/>
      <w:szCs w:val="20"/>
    </w:rPr>
  </w:style>
  <w:style w:type="character" w:customStyle="1" w:styleId="7Char">
    <w:name w:val="标题 7 Char"/>
    <w:basedOn w:val="DefaultParagraphFont"/>
    <w:link w:val="Heading7"/>
    <w:qFormat/>
    <w:rPr>
      <w:rFonts w:ascii="Times New Roman" w:eastAsia="宋体" w:hAnsi="Times New Roman" w:cs="Times New Roman"/>
      <w:b/>
      <w:kern w:val="0"/>
      <w:sz w:val="24"/>
      <w:szCs w:val="20"/>
    </w:rPr>
  </w:style>
  <w:style w:type="character" w:customStyle="1" w:styleId="8Char">
    <w:name w:val="标题 8 Char"/>
    <w:basedOn w:val="DefaultParagraphFont"/>
    <w:link w:val="Heading8"/>
    <w:qFormat/>
    <w:rPr>
      <w:rFonts w:ascii="Arial" w:eastAsia="黑体" w:hAnsi="Arial" w:cs="Times New Roman"/>
      <w:kern w:val="0"/>
      <w:sz w:val="24"/>
      <w:szCs w:val="20"/>
    </w:rPr>
  </w:style>
  <w:style w:type="character" w:customStyle="1" w:styleId="9Char">
    <w:name w:val="标题 9 Char"/>
    <w:basedOn w:val="DefaultParagraphFont"/>
    <w:link w:val="Heading9"/>
    <w:qFormat/>
    <w:rPr>
      <w:rFonts w:ascii="Arial" w:eastAsia="黑体" w:hAnsi="Arial" w:cs="Times New Roman"/>
      <w:kern w:val="0"/>
      <w:sz w:val="20"/>
      <w:szCs w:val="20"/>
    </w:rPr>
  </w:style>
  <w:style w:type="character" w:customStyle="1" w:styleId="3Char1">
    <w:name w:val="标题 3 Char1"/>
    <w:link w:val="Heading3"/>
    <w:qFormat/>
    <w:rPr>
      <w:rFonts w:ascii="宋体" w:eastAsia="宋体" w:hAnsi="宋体" w:cs="Times New Roman"/>
      <w:b/>
      <w:bCs/>
      <w:kern w:val="0"/>
      <w:sz w:val="28"/>
      <w:szCs w:val="32"/>
    </w:rPr>
  </w:style>
  <w:style w:type="character" w:customStyle="1" w:styleId="--CharChar">
    <w:name w:val="--规划正文 Char Char"/>
    <w:qFormat/>
    <w:rPr>
      <w:rFonts w:eastAsia="宋体"/>
      <w:kern w:val="2"/>
      <w:sz w:val="24"/>
      <w:szCs w:val="24"/>
      <w:lang w:val="en-US" w:eastAsia="zh-CN" w:bidi="ar-SA"/>
    </w:rPr>
  </w:style>
  <w:style w:type="character" w:customStyle="1" w:styleId="grame">
    <w:name w:val="grame"/>
    <w:basedOn w:val="DefaultParagraphFont"/>
    <w:qFormat/>
  </w:style>
  <w:style w:type="character" w:customStyle="1" w:styleId="font">
    <w:name w:val="font"/>
    <w:basedOn w:val="DefaultParagraphFont"/>
    <w:qFormat/>
  </w:style>
  <w:style w:type="character" w:customStyle="1" w:styleId="font2">
    <w:name w:val="font2"/>
    <w:basedOn w:val="DefaultParagraphFont"/>
    <w:qFormat/>
  </w:style>
  <w:style w:type="character" w:customStyle="1" w:styleId="unnamed4">
    <w:name w:val="unnamed4"/>
    <w:basedOn w:val="DefaultParagraphFont"/>
    <w:qFormat/>
  </w:style>
  <w:style w:type="character" w:customStyle="1" w:styleId="a">
    <w:name w:val="样式 小三 加粗"/>
    <w:qFormat/>
    <w:rPr>
      <w:rFonts w:eastAsia="宋体"/>
      <w:b/>
      <w:bCs/>
      <w:sz w:val="32"/>
    </w:rPr>
  </w:style>
  <w:style w:type="character" w:customStyle="1" w:styleId="z-Char">
    <w:name w:val="z-窗体顶端 Char"/>
    <w:basedOn w:val="DefaultParagraphFont"/>
    <w:qFormat/>
    <w:rPr>
      <w:rFonts w:ascii="Arial" w:eastAsia="宋体" w:hAnsi="Arial" w:cs="Times New Roman"/>
      <w:vanish/>
      <w:kern w:val="0"/>
      <w:sz w:val="16"/>
      <w:szCs w:val="16"/>
      <w:lang w:val="en-US" w:eastAsia="zh-CN"/>
    </w:rPr>
  </w:style>
  <w:style w:type="paragraph" w:customStyle="1" w:styleId="z-1">
    <w:name w:val="z-窗体顶端1"/>
    <w:basedOn w:val="Normal"/>
    <w:next w:val="Normal"/>
    <w:link w:val="z-Char1"/>
    <w:qFormat/>
    <w:pPr>
      <w:widowControl/>
      <w:pBdr>
        <w:bottom w:val="single" w:sz="6" w:space="1" w:color="auto"/>
      </w:pBdr>
      <w:jc w:val="center"/>
    </w:pPr>
    <w:rPr>
      <w:rFonts w:ascii="Arial" w:hAnsi="Arial"/>
      <w:vanish/>
      <w:kern w:val="0"/>
      <w:sz w:val="16"/>
      <w:szCs w:val="16"/>
    </w:rPr>
  </w:style>
  <w:style w:type="character" w:customStyle="1" w:styleId="Char1">
    <w:name w:val="批注文字 Char"/>
    <w:basedOn w:val="DefaultParagraphFont"/>
    <w:link w:val="CommentText"/>
    <w:qFormat/>
    <w:rPr>
      <w:rFonts w:ascii="宋体" w:eastAsia="宋体" w:hAnsi="Times New Roman" w:cs="Times New Roman"/>
      <w:kern w:val="0"/>
      <w:sz w:val="34"/>
      <w:szCs w:val="20"/>
    </w:rPr>
  </w:style>
  <w:style w:type="character" w:customStyle="1" w:styleId="Char2">
    <w:name w:val="标题 Char"/>
    <w:basedOn w:val="DefaultParagraphFont"/>
    <w:link w:val="Title"/>
    <w:qFormat/>
    <w:rPr>
      <w:rFonts w:ascii="Arial" w:eastAsia="隶书" w:hAnsi="Arial" w:cs="Times New Roman"/>
      <w:b/>
      <w:bCs/>
      <w:kern w:val="0"/>
      <w:sz w:val="32"/>
      <w:szCs w:val="32"/>
    </w:rPr>
  </w:style>
  <w:style w:type="character" w:customStyle="1" w:styleId="Char3">
    <w:name w:val="正文文本 Char"/>
    <w:basedOn w:val="DefaultParagraphFont"/>
    <w:uiPriority w:val="99"/>
    <w:semiHidden/>
    <w:qFormat/>
    <w:rPr>
      <w:rFonts w:ascii="Calibri" w:eastAsia="宋体" w:hAnsi="Calibri" w:cs="Times New Roman"/>
    </w:rPr>
  </w:style>
  <w:style w:type="character" w:customStyle="1" w:styleId="Char4">
    <w:name w:val="正文缩进 Char"/>
    <w:link w:val="NormalIndent"/>
    <w:qFormat/>
    <w:rPr>
      <w:rFonts w:ascii="Times New Roman" w:eastAsia="宋体" w:hAnsi="Times New Roman" w:cs="Times New Roman"/>
      <w:kern w:val="0"/>
      <w:sz w:val="20"/>
      <w:szCs w:val="20"/>
    </w:rPr>
  </w:style>
  <w:style w:type="character" w:customStyle="1" w:styleId="Char5">
    <w:name w:val="日期 Char"/>
    <w:basedOn w:val="DefaultParagraphFont"/>
    <w:link w:val="Date"/>
    <w:qFormat/>
    <w:rPr>
      <w:rFonts w:ascii="宋体" w:eastAsia="宋体" w:hAnsi="Courier New" w:cs="Times New Roman"/>
      <w:kern w:val="0"/>
      <w:sz w:val="32"/>
      <w:szCs w:val="20"/>
    </w:rPr>
  </w:style>
  <w:style w:type="character" w:customStyle="1" w:styleId="Char6">
    <w:name w:val="正文文字首行缩进 Char"/>
    <w:qFormat/>
    <w:rPr>
      <w:kern w:val="2"/>
      <w:sz w:val="21"/>
      <w:szCs w:val="24"/>
    </w:rPr>
  </w:style>
  <w:style w:type="character" w:customStyle="1" w:styleId="unnamed3">
    <w:name w:val="unnamed3"/>
    <w:basedOn w:val="DefaultParagraphFont"/>
    <w:qFormat/>
  </w:style>
  <w:style w:type="character" w:customStyle="1" w:styleId="Char7">
    <w:name w:val="批注主题 Char"/>
    <w:basedOn w:val="Char1"/>
    <w:link w:val="CommentSubject"/>
    <w:uiPriority w:val="99"/>
    <w:qFormat/>
    <w:rPr>
      <w:rFonts w:ascii="Times New Roman"/>
      <w:b/>
      <w:bCs/>
      <w:szCs w:val="24"/>
    </w:rPr>
  </w:style>
  <w:style w:type="character" w:customStyle="1" w:styleId="gray6">
    <w:name w:val="gray6"/>
    <w:basedOn w:val="DefaultParagraphFont"/>
    <w:qFormat/>
  </w:style>
  <w:style w:type="character" w:customStyle="1" w:styleId="Char8">
    <w:name w:val="纯文本 Char"/>
    <w:basedOn w:val="DefaultParagraphFont"/>
    <w:link w:val="PlainText"/>
    <w:qFormat/>
    <w:rPr>
      <w:rFonts w:ascii="宋体" w:eastAsia="宋体" w:hAnsi="Courier New" w:cs="Times New Roman"/>
      <w:kern w:val="0"/>
      <w:sz w:val="20"/>
      <w:szCs w:val="20"/>
    </w:rPr>
  </w:style>
  <w:style w:type="character" w:customStyle="1" w:styleId="Char9">
    <w:name w:val="正文文本缩进 Char"/>
    <w:basedOn w:val="DefaultParagraphFont"/>
    <w:link w:val="BodyTextIndent"/>
    <w:qFormat/>
    <w:rPr>
      <w:rFonts w:ascii="Times New Roman" w:eastAsia="宋体" w:hAnsi="Times New Roman" w:cs="Times New Roman"/>
      <w:kern w:val="0"/>
      <w:sz w:val="20"/>
      <w:szCs w:val="24"/>
    </w:rPr>
  </w:style>
  <w:style w:type="character" w:customStyle="1" w:styleId="2Char0">
    <w:name w:val="正文文本 2 Char"/>
    <w:basedOn w:val="DefaultParagraphFont"/>
    <w:link w:val="BodyText2"/>
    <w:qFormat/>
    <w:rPr>
      <w:rFonts w:ascii="Times New Roman" w:eastAsia="宋体" w:hAnsi="Times New Roman" w:cs="Times New Roman"/>
      <w:kern w:val="0"/>
      <w:sz w:val="24"/>
      <w:szCs w:val="24"/>
    </w:rPr>
  </w:style>
  <w:style w:type="character" w:customStyle="1" w:styleId="3CharChar">
    <w:name w:val="标题 3 Char Char"/>
    <w:qFormat/>
    <w:rPr>
      <w:rFonts w:eastAsia="宋体"/>
      <w:b/>
      <w:bCs/>
      <w:kern w:val="2"/>
      <w:sz w:val="32"/>
      <w:szCs w:val="32"/>
      <w:lang w:val="en-US" w:eastAsia="zh-CN" w:bidi="ar-SA"/>
    </w:rPr>
  </w:style>
  <w:style w:type="character" w:customStyle="1" w:styleId="--Char1">
    <w:name w:val="--规划正文 Char1"/>
    <w:qFormat/>
    <w:rPr>
      <w:rFonts w:eastAsia="宋体"/>
      <w:kern w:val="2"/>
      <w:sz w:val="21"/>
      <w:lang w:val="en-US" w:eastAsia="zh-CN" w:bidi="ar-SA"/>
    </w:rPr>
  </w:style>
  <w:style w:type="character" w:customStyle="1" w:styleId="Char10">
    <w:name w:val="正文首行缩进 Char"/>
    <w:basedOn w:val="Char3"/>
    <w:link w:val="BodyTextFirstIndent"/>
    <w:qFormat/>
    <w:rPr>
      <w:rFonts w:ascii="Times New Roman" w:hAnsi="Times New Roman"/>
      <w:b/>
      <w:bCs/>
      <w:kern w:val="0"/>
      <w:sz w:val="20"/>
      <w:szCs w:val="24"/>
      <w:lang w:val="en-US" w:eastAsia="zh-CN"/>
    </w:rPr>
  </w:style>
  <w:style w:type="character" w:customStyle="1" w:styleId="z-Char0">
    <w:name w:val="z-窗体底端 Char"/>
    <w:basedOn w:val="DefaultParagraphFont"/>
    <w:qFormat/>
    <w:rPr>
      <w:rFonts w:ascii="Arial" w:eastAsia="宋体" w:hAnsi="Arial" w:cs="Times New Roman"/>
      <w:vanish/>
      <w:kern w:val="0"/>
      <w:sz w:val="16"/>
      <w:szCs w:val="16"/>
      <w:lang w:val="en-US" w:eastAsia="zh-CN"/>
    </w:rPr>
  </w:style>
  <w:style w:type="paragraph" w:customStyle="1" w:styleId="z-10">
    <w:name w:val="z-窗体底端1"/>
    <w:basedOn w:val="Normal"/>
    <w:next w:val="Normal"/>
    <w:link w:val="z-Char10"/>
    <w:qFormat/>
    <w:pPr>
      <w:widowControl/>
      <w:pBdr>
        <w:top w:val="single" w:sz="6" w:space="1" w:color="auto"/>
      </w:pBdr>
      <w:jc w:val="center"/>
    </w:pPr>
    <w:rPr>
      <w:rFonts w:ascii="Arial" w:hAnsi="Arial"/>
      <w:vanish/>
      <w:kern w:val="0"/>
      <w:sz w:val="16"/>
      <w:szCs w:val="16"/>
    </w:rPr>
  </w:style>
  <w:style w:type="character" w:customStyle="1" w:styleId="HTMLChar">
    <w:name w:val="HTML 预设格式 Char"/>
    <w:basedOn w:val="DefaultParagraphFont"/>
    <w:link w:val="HTMLPreformatted"/>
    <w:qFormat/>
    <w:rPr>
      <w:rFonts w:ascii="Arial Unicode MS" w:eastAsia="Arial Unicode MS" w:hAnsi="Arial Unicode MS" w:cs="Times New Roman"/>
      <w:color w:val="000000"/>
      <w:kern w:val="0"/>
      <w:sz w:val="20"/>
      <w:szCs w:val="20"/>
    </w:rPr>
  </w:style>
  <w:style w:type="character" w:customStyle="1" w:styleId="H4Char2">
    <w:name w:val="H4 Char2"/>
    <w:qFormat/>
    <w:rPr>
      <w:rFonts w:ascii="Arial" w:eastAsia="黑体" w:hAnsi="Arial"/>
      <w:b/>
      <w:bCs/>
      <w:kern w:val="2"/>
      <w:sz w:val="28"/>
      <w:szCs w:val="28"/>
      <w:lang w:val="en-US" w:eastAsia="zh-CN" w:bidi="ar-SA"/>
    </w:rPr>
  </w:style>
  <w:style w:type="character" w:customStyle="1" w:styleId="Char11">
    <w:name w:val="正文文本 Char1"/>
    <w:link w:val="BodyText"/>
    <w:qFormat/>
    <w:rPr>
      <w:rFonts w:ascii="Times New Roman" w:eastAsia="宋体" w:hAnsi="Times New Roman" w:cs="Times New Roman"/>
      <w:b/>
      <w:bCs/>
      <w:kern w:val="0"/>
      <w:sz w:val="24"/>
      <w:szCs w:val="24"/>
    </w:rPr>
  </w:style>
  <w:style w:type="character" w:customStyle="1" w:styleId="bodytextChar1">
    <w:name w:val="body text Char1"/>
    <w:qFormat/>
    <w:rPr>
      <w:rFonts w:eastAsia="宋体"/>
      <w:kern w:val="2"/>
      <w:sz w:val="21"/>
      <w:lang w:val="en-US" w:eastAsia="zh-CN" w:bidi="ar-SA"/>
    </w:rPr>
  </w:style>
  <w:style w:type="character" w:customStyle="1" w:styleId="Char12">
    <w:name w:val="文档结构图 Char"/>
    <w:basedOn w:val="DefaultParagraphFont"/>
    <w:link w:val="DocumentMap"/>
    <w:semiHidden/>
    <w:qFormat/>
    <w:rPr>
      <w:rFonts w:ascii="Times New Roman" w:eastAsia="宋体" w:hAnsi="Times New Roman" w:cs="Times New Roman"/>
      <w:kern w:val="0"/>
      <w:sz w:val="20"/>
      <w:szCs w:val="24"/>
      <w:shd w:val="clear" w:color="auto" w:fill="000080"/>
    </w:rPr>
  </w:style>
  <w:style w:type="character" w:customStyle="1" w:styleId="3Char0">
    <w:name w:val="正文文本 3 Char"/>
    <w:basedOn w:val="DefaultParagraphFont"/>
    <w:link w:val="BodyText3"/>
    <w:qFormat/>
    <w:rPr>
      <w:rFonts w:ascii="Times New Roman" w:eastAsia="宋体" w:hAnsi="Times New Roman" w:cs="Times New Roman"/>
      <w:kern w:val="0"/>
      <w:sz w:val="16"/>
      <w:szCs w:val="16"/>
    </w:rPr>
  </w:style>
  <w:style w:type="character" w:customStyle="1" w:styleId="blue">
    <w:name w:val="blue"/>
    <w:basedOn w:val="DefaultParagraphFont"/>
    <w:qFormat/>
  </w:style>
  <w:style w:type="character" w:customStyle="1" w:styleId="proddescription">
    <w:name w:val="proddescription"/>
    <w:basedOn w:val="DefaultParagraphFont"/>
    <w:qFormat/>
  </w:style>
  <w:style w:type="character" w:customStyle="1" w:styleId="Char13">
    <w:name w:val="缩进正文 Char"/>
    <w:link w:val="a0"/>
    <w:qFormat/>
    <w:rPr>
      <w:rFonts w:ascii="Times New Roman" w:eastAsia="仿宋_GB2312" w:hAnsi="Times New Roman" w:cs="Times New Roman"/>
      <w:kern w:val="0"/>
      <w:sz w:val="28"/>
      <w:szCs w:val="20"/>
    </w:rPr>
  </w:style>
  <w:style w:type="paragraph" w:customStyle="1" w:styleId="a0">
    <w:name w:val="缩进正文"/>
    <w:basedOn w:val="Normal"/>
    <w:link w:val="Char13"/>
    <w:qFormat/>
    <w:pPr>
      <w:ind w:firstLine="560" w:firstLineChars="200"/>
    </w:pPr>
    <w:rPr>
      <w:rFonts w:ascii="Times New Roman" w:eastAsia="仿宋_GB2312" w:hAnsi="Times New Roman"/>
      <w:kern w:val="0"/>
      <w:sz w:val="28"/>
      <w:szCs w:val="20"/>
    </w:rPr>
  </w:style>
  <w:style w:type="character" w:customStyle="1" w:styleId="style9">
    <w:name w:val="style9"/>
    <w:basedOn w:val="DefaultParagraphFont"/>
    <w:qFormat/>
  </w:style>
  <w:style w:type="character" w:customStyle="1" w:styleId="prodheadlines">
    <w:name w:val="prodheadlines"/>
    <w:basedOn w:val="DefaultParagraphFont"/>
    <w:qFormat/>
  </w:style>
  <w:style w:type="character" w:customStyle="1" w:styleId="content1">
    <w:name w:val="content1"/>
    <w:qFormat/>
    <w:rPr>
      <w:rFonts w:ascii="??" w:hAnsi="??" w:hint="default"/>
      <w:sz w:val="16"/>
      <w:szCs w:val="16"/>
      <w:u w:val="none"/>
    </w:rPr>
  </w:style>
  <w:style w:type="character" w:customStyle="1" w:styleId="3Char2">
    <w:name w:val="正文文本缩进 3 Char"/>
    <w:basedOn w:val="DefaultParagraphFont"/>
    <w:link w:val="BodyTextIndent3"/>
    <w:qFormat/>
    <w:rPr>
      <w:rFonts w:ascii="宋体" w:eastAsia="宋体" w:hAnsi="Times New Roman" w:cs="Times New Roman"/>
      <w:b/>
      <w:bCs/>
      <w:kern w:val="0"/>
      <w:sz w:val="24"/>
      <w:szCs w:val="24"/>
    </w:rPr>
  </w:style>
  <w:style w:type="character" w:customStyle="1" w:styleId="1Char0">
    <w:name w:val="章标题1 Char"/>
    <w:qFormat/>
    <w:rPr>
      <w:rFonts w:eastAsia="宋体"/>
      <w:b/>
      <w:bCs/>
      <w:kern w:val="2"/>
      <w:sz w:val="32"/>
      <w:szCs w:val="32"/>
      <w:lang w:val="en-US" w:eastAsia="zh-CN" w:bidi="ar-SA"/>
    </w:rPr>
  </w:style>
  <w:style w:type="character" w:customStyle="1" w:styleId="font41">
    <w:name w:val="font41"/>
    <w:qFormat/>
    <w:rPr>
      <w:color w:val="000000"/>
      <w:spacing w:val="260"/>
      <w:sz w:val="18"/>
      <w:szCs w:val="18"/>
      <w:u w:val="none"/>
    </w:rPr>
  </w:style>
  <w:style w:type="character" w:customStyle="1" w:styleId="alt-edited1">
    <w:name w:val="alt-edited1"/>
    <w:qFormat/>
    <w:rPr>
      <w:color w:val="4D90F0"/>
    </w:rPr>
  </w:style>
  <w:style w:type="character" w:customStyle="1" w:styleId="info4">
    <w:name w:val="info4"/>
    <w:basedOn w:val="DefaultParagraphFont"/>
    <w:qFormat/>
  </w:style>
  <w:style w:type="character" w:customStyle="1" w:styleId="Char14">
    <w:name w:val="第*章 Char"/>
    <w:qFormat/>
    <w:rPr>
      <w:rFonts w:ascii="Arial" w:eastAsia="黑体" w:hAnsi="Arial"/>
      <w:b/>
      <w:bCs/>
      <w:kern w:val="2"/>
      <w:sz w:val="32"/>
      <w:szCs w:val="32"/>
    </w:rPr>
  </w:style>
  <w:style w:type="character" w:customStyle="1" w:styleId="text">
    <w:name w:val="text"/>
    <w:basedOn w:val="DefaultParagraphFont"/>
    <w:qFormat/>
  </w:style>
  <w:style w:type="character" w:customStyle="1" w:styleId="2Char1">
    <w:name w:val="正文文本缩进 2 Char"/>
    <w:basedOn w:val="DefaultParagraphFont"/>
    <w:link w:val="BodyTextIndent2"/>
    <w:qFormat/>
    <w:rPr>
      <w:rFonts w:ascii="宋体" w:eastAsia="宋体" w:hAnsi="宋体" w:cs="Times New Roman"/>
      <w:kern w:val="0"/>
      <w:sz w:val="20"/>
      <w:szCs w:val="24"/>
    </w:rPr>
  </w:style>
  <w:style w:type="character" w:customStyle="1" w:styleId="font11">
    <w:name w:val="font11"/>
    <w:qFormat/>
    <w:rPr>
      <w:rFonts w:ascii="ˎ̥" w:hAnsi="ˎ̥" w:hint="default"/>
    </w:rPr>
  </w:style>
  <w:style w:type="character" w:customStyle="1" w:styleId="Char15">
    <w:name w:val="批注框文本 Char"/>
    <w:basedOn w:val="DefaultParagraphFont"/>
    <w:link w:val="BalloonText"/>
    <w:uiPriority w:val="99"/>
    <w:qFormat/>
    <w:rPr>
      <w:rFonts w:ascii="Times New Roman" w:eastAsia="宋体" w:hAnsi="Times New Roman" w:cs="Times New Roman"/>
      <w:kern w:val="0"/>
      <w:sz w:val="18"/>
      <w:szCs w:val="18"/>
    </w:rPr>
  </w:style>
  <w:style w:type="character" w:customStyle="1" w:styleId="mode">
    <w:name w:val="mode"/>
    <w:basedOn w:val="DefaultParagraphFont"/>
    <w:qFormat/>
  </w:style>
  <w:style w:type="character" w:customStyle="1" w:styleId="3Char10">
    <w:name w:val="正文文本 3 Char1"/>
    <w:basedOn w:val="DefaultParagraphFont"/>
    <w:link w:val="BodyText3"/>
    <w:uiPriority w:val="99"/>
    <w:semiHidden/>
    <w:qFormat/>
    <w:rPr>
      <w:rFonts w:ascii="Calibri" w:eastAsia="宋体" w:hAnsi="Calibri" w:cs="Times New Roman"/>
      <w:sz w:val="16"/>
      <w:szCs w:val="16"/>
    </w:rPr>
  </w:style>
  <w:style w:type="character" w:customStyle="1" w:styleId="Char16">
    <w:name w:val="纯文本 Char1"/>
    <w:basedOn w:val="DefaultParagraphFont"/>
    <w:link w:val="PlainText"/>
    <w:uiPriority w:val="99"/>
    <w:semiHidden/>
    <w:qFormat/>
    <w:rPr>
      <w:rFonts w:ascii="宋体" w:eastAsia="宋体" w:hAnsi="Courier New" w:cs="Courier New"/>
      <w:szCs w:val="21"/>
    </w:rPr>
  </w:style>
  <w:style w:type="character" w:customStyle="1" w:styleId="Char17">
    <w:name w:val="文档结构图 Char1"/>
    <w:basedOn w:val="DefaultParagraphFont"/>
    <w:link w:val="DocumentMap"/>
    <w:uiPriority w:val="99"/>
    <w:semiHidden/>
    <w:qFormat/>
    <w:rPr>
      <w:rFonts w:ascii="宋体" w:eastAsia="宋体" w:hAnsi="Calibri" w:cs="Times New Roman"/>
      <w:sz w:val="18"/>
      <w:szCs w:val="18"/>
    </w:rPr>
  </w:style>
  <w:style w:type="character" w:customStyle="1" w:styleId="Char18">
    <w:name w:val="日期 Char1"/>
    <w:basedOn w:val="DefaultParagraphFont"/>
    <w:link w:val="Date"/>
    <w:uiPriority w:val="99"/>
    <w:semiHidden/>
    <w:qFormat/>
    <w:rPr>
      <w:rFonts w:ascii="Calibri" w:eastAsia="宋体" w:hAnsi="Calibri" w:cs="Times New Roman"/>
    </w:rPr>
  </w:style>
  <w:style w:type="character" w:customStyle="1" w:styleId="Char20">
    <w:name w:val="正文文本 Char2"/>
    <w:basedOn w:val="DefaultParagraphFont"/>
    <w:link w:val="BodyText"/>
    <w:uiPriority w:val="99"/>
    <w:semiHidden/>
    <w:qFormat/>
    <w:rPr>
      <w:rFonts w:ascii="Calibri" w:eastAsia="宋体" w:hAnsi="Calibri" w:cs="Times New Roman"/>
    </w:rPr>
  </w:style>
  <w:style w:type="character" w:customStyle="1" w:styleId="Char19">
    <w:name w:val="正文文本缩进 Char1"/>
    <w:basedOn w:val="DefaultParagraphFont"/>
    <w:link w:val="BodyTextIndent"/>
    <w:uiPriority w:val="99"/>
    <w:semiHidden/>
    <w:qFormat/>
    <w:rPr>
      <w:rFonts w:ascii="Calibri" w:eastAsia="宋体" w:hAnsi="Calibri" w:cs="Times New Roman"/>
    </w:rPr>
  </w:style>
  <w:style w:type="character" w:customStyle="1" w:styleId="Char110">
    <w:name w:val="批注文字 Char1"/>
    <w:basedOn w:val="DefaultParagraphFont"/>
    <w:link w:val="CommentText"/>
    <w:uiPriority w:val="99"/>
    <w:semiHidden/>
    <w:qFormat/>
    <w:rPr>
      <w:rFonts w:ascii="Calibri" w:eastAsia="宋体" w:hAnsi="Calibri" w:cs="Times New Roman"/>
    </w:rPr>
  </w:style>
  <w:style w:type="character" w:customStyle="1" w:styleId="HTMLChar1">
    <w:name w:val="HTML 预设格式 Char1"/>
    <w:basedOn w:val="DefaultParagraphFont"/>
    <w:link w:val="HTMLPreformatted"/>
    <w:uiPriority w:val="99"/>
    <w:semiHidden/>
    <w:qFormat/>
    <w:rPr>
      <w:rFonts w:ascii="Courier New" w:eastAsia="宋体" w:hAnsi="Courier New" w:cs="Courier New"/>
      <w:sz w:val="20"/>
      <w:szCs w:val="20"/>
    </w:rPr>
  </w:style>
  <w:style w:type="character" w:customStyle="1" w:styleId="2Char10">
    <w:name w:val="正文文本缩进 2 Char1"/>
    <w:basedOn w:val="DefaultParagraphFont"/>
    <w:link w:val="BodyTextIndent2"/>
    <w:uiPriority w:val="99"/>
    <w:semiHidden/>
    <w:qFormat/>
    <w:rPr>
      <w:rFonts w:ascii="Calibri" w:eastAsia="宋体" w:hAnsi="Calibri" w:cs="Times New Roman"/>
    </w:rPr>
  </w:style>
  <w:style w:type="character" w:customStyle="1" w:styleId="2Char11">
    <w:name w:val="正文文本 2 Char1"/>
    <w:basedOn w:val="DefaultParagraphFont"/>
    <w:link w:val="BodyText2"/>
    <w:uiPriority w:val="99"/>
    <w:semiHidden/>
    <w:qFormat/>
    <w:rPr>
      <w:rFonts w:ascii="Calibri" w:eastAsia="宋体" w:hAnsi="Calibri" w:cs="Times New Roman"/>
    </w:rPr>
  </w:style>
  <w:style w:type="character" w:customStyle="1" w:styleId="Char111">
    <w:name w:val="批注框文本 Char1"/>
    <w:basedOn w:val="DefaultParagraphFont"/>
    <w:link w:val="BalloonText"/>
    <w:uiPriority w:val="99"/>
    <w:semiHidden/>
    <w:qFormat/>
    <w:rPr>
      <w:rFonts w:ascii="Calibri" w:eastAsia="宋体" w:hAnsi="Calibri" w:cs="Times New Roman"/>
      <w:sz w:val="18"/>
      <w:szCs w:val="18"/>
    </w:rPr>
  </w:style>
  <w:style w:type="character" w:customStyle="1" w:styleId="3Char11">
    <w:name w:val="正文文本缩进 3 Char1"/>
    <w:basedOn w:val="DefaultParagraphFont"/>
    <w:link w:val="BodyTextIndent3"/>
    <w:uiPriority w:val="99"/>
    <w:semiHidden/>
    <w:qFormat/>
    <w:rPr>
      <w:rFonts w:ascii="Calibri" w:eastAsia="宋体" w:hAnsi="Calibri" w:cs="Times New Roman"/>
      <w:sz w:val="16"/>
      <w:szCs w:val="16"/>
    </w:rPr>
  </w:style>
  <w:style w:type="character" w:customStyle="1" w:styleId="Char112">
    <w:name w:val="标题 Char1"/>
    <w:basedOn w:val="DefaultParagraphFont"/>
    <w:link w:val="Title"/>
    <w:uiPriority w:val="10"/>
    <w:qFormat/>
    <w:rPr>
      <w:rFonts w:eastAsia="宋体" w:asciiTheme="majorHAnsi" w:hAnsiTheme="majorHAnsi" w:cstheme="majorBidi"/>
      <w:b/>
      <w:bCs/>
      <w:sz w:val="32"/>
      <w:szCs w:val="32"/>
    </w:rPr>
  </w:style>
  <w:style w:type="character" w:customStyle="1" w:styleId="Char113">
    <w:name w:val="批注主题 Char1"/>
    <w:basedOn w:val="Char110"/>
    <w:link w:val="CommentSubject"/>
    <w:uiPriority w:val="99"/>
    <w:semiHidden/>
    <w:qFormat/>
    <w:rPr>
      <w:b/>
      <w:bCs/>
    </w:rPr>
  </w:style>
  <w:style w:type="character" w:customStyle="1" w:styleId="Char114">
    <w:name w:val="正文首行缩进 Char1"/>
    <w:basedOn w:val="Char20"/>
    <w:link w:val="BodyTextFirstIndent"/>
    <w:uiPriority w:val="99"/>
    <w:semiHidden/>
    <w:qFormat/>
  </w:style>
  <w:style w:type="paragraph" w:customStyle="1" w:styleId="xl34">
    <w:name w:val="xl34"/>
    <w:basedOn w:val="Normal"/>
    <w:qFormat/>
    <w:pPr>
      <w:widowControl/>
      <w:pBdr>
        <w:lef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1">
    <w:name w:val="编号1"/>
    <w:basedOn w:val="Normal"/>
    <w:qFormat/>
    <w:pPr>
      <w:tabs>
        <w:tab w:val="left" w:pos="360"/>
      </w:tabs>
      <w:adjustRightInd w:val="0"/>
      <w:spacing w:line="300" w:lineRule="auto"/>
      <w:ind w:left="360" w:right="210" w:hanging="360"/>
      <w:textAlignment w:val="center"/>
    </w:pPr>
    <w:rPr>
      <w:rFonts w:ascii="宋体" w:hAnsi="宋体"/>
      <w:snapToGrid w:val="0"/>
      <w:spacing w:val="10"/>
      <w:kern w:val="24"/>
      <w:szCs w:val="24"/>
    </w:rPr>
  </w:style>
  <w:style w:type="paragraph" w:customStyle="1" w:styleId="--">
    <w:name w:val="--规划正文"/>
    <w:basedOn w:val="Normal"/>
    <w:qFormat/>
    <w:pPr>
      <w:spacing w:line="360" w:lineRule="auto"/>
      <w:ind w:firstLine="200" w:firstLineChars="200"/>
    </w:pPr>
    <w:rPr>
      <w:rFonts w:ascii="Times New Roman" w:hAnsi="Times New Roman"/>
      <w:szCs w:val="20"/>
    </w:rPr>
  </w:style>
  <w:style w:type="paragraph" w:customStyle="1" w:styleId="a1">
    <w:name w:val="产品描述"/>
    <w:qFormat/>
    <w:pPr>
      <w:widowControl w:val="0"/>
      <w:autoSpaceDE w:val="0"/>
      <w:autoSpaceDN w:val="0"/>
      <w:adjustRightInd w:val="0"/>
      <w:spacing w:line="270" w:lineRule="atLeast"/>
      <w:ind w:firstLine="397"/>
      <w:jc w:val="both"/>
    </w:pPr>
    <w:rPr>
      <w:rFonts w:ascii="宋体" w:eastAsia="宋体" w:hAnsi="Times New Roman" w:cs="Times New Roman"/>
      <w:sz w:val="18"/>
      <w:szCs w:val="18"/>
      <w:lang w:val="en-US" w:eastAsia="zh-CN" w:bidi="ar-SA"/>
    </w:rPr>
  </w:style>
  <w:style w:type="paragraph" w:customStyle="1" w:styleId="Char21">
    <w:name w:val="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Char22">
    <w:name w:val="Char2"/>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9">
    <w:name w:val="9"/>
    <w:basedOn w:val="Normal"/>
    <w:next w:val="NormalIndent"/>
    <w:qFormat/>
    <w:pPr>
      <w:autoSpaceDE w:val="0"/>
      <w:autoSpaceDN w:val="0"/>
      <w:adjustRightInd w:val="0"/>
      <w:ind w:firstLine="420"/>
      <w:jc w:val="left"/>
      <w:textAlignment w:val="baseline"/>
    </w:pPr>
    <w:rPr>
      <w:rFonts w:ascii="宋体" w:hAnsi="Times New Roman"/>
      <w:kern w:val="0"/>
      <w:sz w:val="34"/>
      <w:szCs w:val="20"/>
    </w:rPr>
  </w:style>
  <w:style w:type="paragraph" w:customStyle="1" w:styleId="00">
    <w:name w:val="00"/>
    <w:basedOn w:val="Normal"/>
    <w:qFormat/>
    <w:pPr>
      <w:autoSpaceDE w:val="0"/>
      <w:autoSpaceDN w:val="0"/>
      <w:adjustRightInd w:val="0"/>
      <w:jc w:val="left"/>
    </w:pPr>
    <w:rPr>
      <w:rFonts w:ascii="黑体" w:eastAsia="黑体" w:hAnsi="Times New Roman"/>
      <w:b/>
      <w:bCs/>
      <w:kern w:val="0"/>
      <w:sz w:val="20"/>
      <w:szCs w:val="20"/>
    </w:rPr>
  </w:style>
  <w:style w:type="paragraph" w:customStyle="1" w:styleId="cont">
    <w:name w:val="cont"/>
    <w:basedOn w:val="Normal"/>
    <w:qFormat/>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blue1">
    <w:name w:val="blue1"/>
    <w:basedOn w:val="Normal"/>
    <w:qFormat/>
    <w:pPr>
      <w:widowControl/>
      <w:spacing w:before="100" w:beforeAutospacing="1" w:after="100" w:afterAutospacing="1"/>
      <w:jc w:val="left"/>
    </w:pPr>
    <w:rPr>
      <w:rFonts w:ascii="宋体" w:hAnsi="宋体" w:cs="宋体"/>
      <w:kern w:val="0"/>
      <w:sz w:val="24"/>
      <w:szCs w:val="24"/>
    </w:rPr>
  </w:style>
  <w:style w:type="paragraph" w:customStyle="1" w:styleId="word">
    <w:name w:val="word"/>
    <w:basedOn w:val="Normal"/>
    <w:qFormat/>
    <w:pPr>
      <w:widowControl/>
      <w:spacing w:before="100" w:beforeAutospacing="1" w:after="100" w:afterAutospacing="1" w:line="301" w:lineRule="atLeast"/>
      <w:jc w:val="left"/>
    </w:pPr>
    <w:rPr>
      <w:rFonts w:ascii="ˎ̥" w:hAnsi="ˎ̥"/>
      <w:color w:val="000000"/>
      <w:kern w:val="0"/>
      <w:sz w:val="20"/>
      <w:szCs w:val="20"/>
    </w:rPr>
  </w:style>
  <w:style w:type="paragraph" w:customStyle="1" w:styleId="21313">
    <w:name w:val="样式 标题 2 + 段前: 13 磅 段后: 13 磅 行距: 单倍行距"/>
    <w:basedOn w:val="Heading2"/>
    <w:qFormat/>
    <w:pPr>
      <w:adjustRightInd/>
      <w:spacing w:before="0" w:after="0"/>
      <w:jc w:val="both"/>
      <w:textAlignment w:val="auto"/>
    </w:pPr>
    <w:rPr>
      <w:rFonts w:ascii="Cambria" w:hAnsi="Cambria" w:cs="宋体"/>
      <w:kern w:val="2"/>
      <w:sz w:val="32"/>
    </w:rPr>
  </w:style>
  <w:style w:type="paragraph" w:customStyle="1" w:styleId="RFItextfrom3rdLevel">
    <w:name w:val="RFI text from 3rd Level"/>
    <w:basedOn w:val="Normal"/>
    <w:qFormat/>
    <w:pPr>
      <w:widowControl/>
      <w:tabs>
        <w:tab w:val="left" w:pos="1080"/>
      </w:tabs>
      <w:spacing w:beforeLines="50" w:line="360" w:lineRule="auto"/>
    </w:pPr>
    <w:rPr>
      <w:rFonts w:ascii="Arial (W1)" w:hAnsi="Arial (W1)"/>
      <w:bCs/>
      <w:kern w:val="0"/>
      <w:sz w:val="24"/>
      <w:szCs w:val="24"/>
      <w:lang w:val="en-GB"/>
    </w:rPr>
  </w:style>
  <w:style w:type="paragraph" w:customStyle="1" w:styleId="10">
    <w:name w:val="列出段落1"/>
    <w:basedOn w:val="Normal"/>
    <w:link w:val="a21"/>
    <w:qFormat/>
    <w:pPr>
      <w:ind w:firstLine="420" w:firstLineChars="200"/>
    </w:pPr>
    <w:rPr>
      <w:rFonts w:cs="Calibri"/>
      <w:szCs w:val="21"/>
    </w:rPr>
  </w:style>
  <w:style w:type="paragraph" w:customStyle="1" w:styleId="5">
    <w:name w:val="5"/>
    <w:basedOn w:val="Normal"/>
    <w:qFormat/>
    <w:pPr>
      <w:autoSpaceDE w:val="0"/>
      <w:autoSpaceDN w:val="0"/>
      <w:adjustRightInd w:val="0"/>
      <w:jc w:val="left"/>
    </w:pPr>
    <w:rPr>
      <w:rFonts w:ascii="宋体" w:hAnsi="Times New Roman"/>
      <w:b/>
      <w:bCs/>
      <w:kern w:val="0"/>
      <w:sz w:val="18"/>
      <w:szCs w:val="18"/>
    </w:rPr>
  </w:style>
  <w:style w:type="paragraph" w:customStyle="1" w:styleId="Style28">
    <w:name w:val="_Style 28"/>
    <w:next w:val="Normal"/>
    <w:qFormat/>
    <w:pPr>
      <w:widowControl w:val="0"/>
      <w:jc w:val="both"/>
    </w:pPr>
    <w:rPr>
      <w:rFonts w:ascii="Calibri" w:eastAsia="宋体" w:hAnsi="Calibri" w:cs="Times New Roman"/>
      <w:kern w:val="2"/>
      <w:sz w:val="21"/>
      <w:szCs w:val="22"/>
      <w:lang w:val="en-US" w:eastAsia="zh-CN" w:bidi="ar-SA"/>
    </w:rPr>
  </w:style>
  <w:style w:type="paragraph" w:customStyle="1" w:styleId="a2">
    <w:name w:val="设计依据"/>
    <w:basedOn w:val="BodyText"/>
    <w:qFormat/>
    <w:pPr>
      <w:tabs>
        <w:tab w:val="left" w:pos="1440"/>
      </w:tabs>
      <w:adjustRightInd w:val="0"/>
      <w:ind w:left="1440" w:hanging="420"/>
      <w:textAlignment w:val="baseline"/>
    </w:pPr>
    <w:rPr>
      <w:rFonts w:ascii="宋体" w:hAnsi="宋体"/>
      <w:b w:val="0"/>
      <w:sz w:val="28"/>
      <w:szCs w:val="18"/>
    </w:rPr>
  </w:style>
  <w:style w:type="paragraph" w:styleId="ListParagraph">
    <w:name w:val="List Paragraph"/>
    <w:basedOn w:val="Normal"/>
    <w:uiPriority w:val="34"/>
    <w:qFormat/>
    <w:pPr>
      <w:ind w:firstLine="420" w:firstLineChars="200"/>
    </w:pPr>
  </w:style>
  <w:style w:type="paragraph" w:customStyle="1" w:styleId="style2">
    <w:name w:val="style2"/>
    <w:basedOn w:val="Normal"/>
    <w:qFormat/>
    <w:pPr>
      <w:widowControl/>
      <w:spacing w:before="100" w:beforeAutospacing="1" w:after="100" w:afterAutospacing="1"/>
      <w:jc w:val="left"/>
    </w:pPr>
    <w:rPr>
      <w:rFonts w:ascii="宋体" w:hAnsi="宋体" w:cs="宋体"/>
      <w:kern w:val="0"/>
      <w:sz w:val="18"/>
      <w:szCs w:val="18"/>
    </w:rPr>
  </w:style>
  <w:style w:type="paragraph" w:customStyle="1" w:styleId="---">
    <w:name w:val="--规划-小标题"/>
    <w:basedOn w:val="Normal"/>
    <w:next w:val="--"/>
    <w:qFormat/>
    <w:pPr>
      <w:keepNext/>
      <w:keepLines/>
      <w:spacing w:line="360" w:lineRule="auto"/>
      <w:outlineLvl w:val="4"/>
    </w:pPr>
    <w:rPr>
      <w:rFonts w:ascii="Times New Roman" w:eastAsia="黑体" w:hAnsi="Times New Roman"/>
      <w:szCs w:val="24"/>
    </w:rPr>
  </w:style>
  <w:style w:type="paragraph" w:customStyle="1" w:styleId="a3">
    <w:name w:val="自定义正文"/>
    <w:basedOn w:val="Normal"/>
    <w:qFormat/>
    <w:pPr>
      <w:spacing w:afterLines="50"/>
      <w:ind w:left="600" w:leftChars="600"/>
    </w:pPr>
    <w:rPr>
      <w:rFonts w:ascii="Times New Roman" w:hAnsi="Times New Roman"/>
      <w:szCs w:val="24"/>
    </w:rPr>
  </w:style>
  <w:style w:type="paragraph" w:customStyle="1" w:styleId="a4">
    <w:name w:val="段落正文"/>
    <w:basedOn w:val="PlainText"/>
    <w:qFormat/>
    <w:pPr>
      <w:ind w:firstLine="560" w:firstLineChars="200"/>
    </w:pPr>
    <w:rPr>
      <w:sz w:val="28"/>
    </w:rPr>
  </w:style>
  <w:style w:type="paragraph" w:customStyle="1" w:styleId="a5">
    <w:name w:val="封面文档标题"/>
    <w:basedOn w:val="Normal"/>
    <w:qFormat/>
    <w:pPr>
      <w:autoSpaceDE w:val="0"/>
      <w:autoSpaceDN w:val="0"/>
      <w:adjustRightInd w:val="0"/>
      <w:spacing w:line="360" w:lineRule="auto"/>
      <w:jc w:val="center"/>
    </w:pPr>
    <w:rPr>
      <w:rFonts w:ascii="Arial" w:hAnsi="Arial"/>
      <w:b/>
      <w:kern w:val="0"/>
      <w:sz w:val="56"/>
      <w:szCs w:val="24"/>
    </w:rPr>
  </w:style>
  <w:style w:type="paragraph" w:customStyle="1" w:styleId="----">
    <w:name w:val="--规划-表格-居中"/>
    <w:basedOn w:val="--"/>
    <w:qFormat/>
    <w:pPr>
      <w:spacing w:line="240" w:lineRule="auto"/>
      <w:ind w:firstLine="0" w:firstLineChars="0"/>
      <w:jc w:val="center"/>
    </w:pPr>
    <w:rPr>
      <w:sz w:val="20"/>
    </w:rPr>
  </w:style>
  <w:style w:type="paragraph" w:customStyle="1" w:styleId="CharCharCharChar">
    <w:name w:val="Char Char Char Char"/>
    <w:basedOn w:val="Normal"/>
    <w:qFormat/>
    <w:pPr>
      <w:widowControl/>
      <w:spacing w:after="160" w:line="240" w:lineRule="exact"/>
      <w:jc w:val="left"/>
    </w:pPr>
    <w:rPr>
      <w:rFonts w:ascii="Verdana" w:eastAsia="仿宋_GB2312" w:hAnsi="Verdana"/>
      <w:kern w:val="0"/>
      <w:sz w:val="24"/>
      <w:szCs w:val="20"/>
      <w:lang w:eastAsia="en-US"/>
    </w:rPr>
  </w:style>
  <w:style w:type="paragraph" w:customStyle="1" w:styleId="NormalParagraph">
    <w:name w:val="Normal Paragraph"/>
    <w:basedOn w:val="Normal"/>
    <w:qFormat/>
    <w:pPr>
      <w:widowControl/>
      <w:spacing w:before="120" w:line="360" w:lineRule="auto"/>
      <w:ind w:firstLine="425"/>
    </w:pPr>
    <w:rPr>
      <w:rFonts w:ascii="Times New Roman" w:hAnsi="Times New Roman"/>
      <w:kern w:val="0"/>
      <w:sz w:val="24"/>
      <w:szCs w:val="24"/>
    </w:rPr>
  </w:style>
  <w:style w:type="paragraph" w:customStyle="1" w:styleId="a6">
    <w:name w:val="正文文字缩进项目"/>
    <w:basedOn w:val="BodyTextIndent"/>
    <w:qFormat/>
    <w:pPr>
      <w:tabs>
        <w:tab w:val="left" w:pos="840"/>
      </w:tabs>
      <w:spacing w:after="120" w:line="240" w:lineRule="auto"/>
      <w:ind w:left="840" w:firstLine="0" w:firstLineChars="0"/>
    </w:pPr>
    <w:rPr>
      <w:rFonts w:ascii="Tahoma" w:hAnsi="Tahoma"/>
      <w:sz w:val="22"/>
      <w:szCs w:val="20"/>
    </w:rPr>
  </w:style>
  <w:style w:type="paragraph" w:customStyle="1" w:styleId="11">
    <w:name w:val="小标题 1"/>
    <w:basedOn w:val="Normal"/>
    <w:qFormat/>
    <w:pPr>
      <w:autoSpaceDE w:val="0"/>
      <w:autoSpaceDN w:val="0"/>
      <w:adjustRightInd w:val="0"/>
      <w:spacing w:line="360" w:lineRule="atLeast"/>
    </w:pPr>
    <w:rPr>
      <w:rFonts w:ascii="文鼎粗黑" w:eastAsia="文鼎粗黑" w:hAnsi="Times New Roman"/>
      <w:kern w:val="0"/>
      <w:sz w:val="22"/>
      <w:szCs w:val="20"/>
    </w:rPr>
  </w:style>
  <w:style w:type="paragraph" w:customStyle="1" w:styleId="2">
    <w:name w:val="样式2"/>
    <w:basedOn w:val="Title"/>
    <w:next w:val="12"/>
    <w:qFormat/>
    <w:pPr>
      <w:spacing w:before="120" w:after="120"/>
    </w:pPr>
    <w:rPr>
      <w:rFonts w:eastAsia="黑体"/>
      <w:b w:val="0"/>
      <w:sz w:val="30"/>
      <w:szCs w:val="30"/>
    </w:rPr>
  </w:style>
  <w:style w:type="paragraph" w:customStyle="1" w:styleId="12">
    <w:name w:val="样式1"/>
    <w:basedOn w:val="Title"/>
    <w:qFormat/>
    <w:pPr>
      <w:spacing w:before="120" w:after="120"/>
    </w:pPr>
    <w:rPr>
      <w:rFonts w:eastAsia="黑体"/>
      <w:b w:val="0"/>
      <w:sz w:val="30"/>
      <w:szCs w:val="21"/>
    </w:rPr>
  </w:style>
  <w:style w:type="paragraph" w:customStyle="1" w:styleId="41">
    <w:name w:val="样式41"/>
    <w:basedOn w:val="Normal"/>
    <w:qFormat/>
    <w:pPr>
      <w:tabs>
        <w:tab w:val="left" w:pos="945"/>
        <w:tab w:val="left" w:pos="2040"/>
      </w:tabs>
      <w:spacing w:line="360" w:lineRule="auto"/>
      <w:ind w:left="2040" w:hanging="360"/>
    </w:pPr>
    <w:rPr>
      <w:rFonts w:ascii="Times New Roman" w:hAnsi="Times New Roman"/>
      <w:b/>
      <w:color w:val="000000"/>
      <w:sz w:val="24"/>
      <w:szCs w:val="20"/>
    </w:rPr>
  </w:style>
  <w:style w:type="paragraph" w:customStyle="1" w:styleId="CharChar">
    <w:name w:val="Char Char"/>
    <w:basedOn w:val="Normal"/>
    <w:qFormat/>
    <w:rPr>
      <w:rFonts w:ascii="Tahoma" w:hAnsi="Tahoma"/>
      <w:sz w:val="24"/>
      <w:szCs w:val="20"/>
    </w:rPr>
  </w:style>
  <w:style w:type="paragraph" w:customStyle="1" w:styleId="TableContents">
    <w:name w:val="Table Contents"/>
    <w:basedOn w:val="Normal"/>
    <w:qFormat/>
    <w:pPr>
      <w:suppressAutoHyphens/>
      <w:autoSpaceDE w:val="0"/>
      <w:spacing w:after="120"/>
      <w:jc w:val="left"/>
    </w:pPr>
    <w:rPr>
      <w:rFonts w:ascii="Helvetica" w:hAnsi="Helvetica"/>
      <w:kern w:val="1"/>
      <w:sz w:val="20"/>
      <w:szCs w:val="20"/>
    </w:rPr>
  </w:style>
  <w:style w:type="paragraph" w:customStyle="1" w:styleId="CharCharChar">
    <w:name w:val="Char Char Char"/>
    <w:basedOn w:val="Normal"/>
    <w:qFormat/>
    <w:rPr>
      <w:rFonts w:ascii="Tahoma" w:hAnsi="Tahoma"/>
      <w:sz w:val="24"/>
      <w:szCs w:val="20"/>
    </w:rPr>
  </w:style>
  <w:style w:type="paragraph" w:customStyle="1" w:styleId="CharCharCharCharChar">
    <w:name w:val="Char Char Char Char Char"/>
    <w:basedOn w:val="Normal"/>
    <w:qFormat/>
    <w:rPr>
      <w:rFonts w:ascii="Tahoma" w:hAnsi="Tahoma"/>
      <w:sz w:val="24"/>
      <w:szCs w:val="20"/>
    </w:rPr>
  </w:style>
  <w:style w:type="paragraph" w:customStyle="1" w:styleId="a7">
    <w:name w:val="文档正文"/>
    <w:basedOn w:val="Normal"/>
    <w:qFormat/>
    <w:pPr>
      <w:adjustRightInd w:val="0"/>
      <w:spacing w:line="480" w:lineRule="atLeast"/>
      <w:ind w:firstLine="567" w:firstLineChars="200"/>
      <w:textAlignment w:val="baseline"/>
    </w:pPr>
    <w:rPr>
      <w:rFonts w:ascii="长城仿宋" w:hAnsi="Times New Roman"/>
      <w:kern w:val="0"/>
      <w:szCs w:val="20"/>
    </w:rPr>
  </w:style>
  <w:style w:type="paragraph" w:customStyle="1" w:styleId="USE1">
    <w:name w:val="USE 1"/>
    <w:basedOn w:val="Normal"/>
    <w:qFormat/>
    <w:pPr>
      <w:spacing w:line="200" w:lineRule="atLeast"/>
      <w:jc w:val="left"/>
    </w:pPr>
    <w:rPr>
      <w:rFonts w:ascii="宋体" w:hAnsi="宋体"/>
      <w:b/>
      <w:sz w:val="24"/>
      <w:szCs w:val="28"/>
    </w:rPr>
  </w:style>
  <w:style w:type="paragraph" w:customStyle="1" w:styleId="--0">
    <w:name w:val="--编号内缩进"/>
    <w:basedOn w:val="Normal"/>
    <w:qFormat/>
    <w:pPr>
      <w:spacing w:line="360" w:lineRule="auto"/>
      <w:ind w:left="420" w:firstLine="200" w:firstLineChars="200"/>
    </w:pPr>
    <w:rPr>
      <w:rFonts w:ascii="Times New Roman" w:hAnsi="Times New Roman"/>
      <w:szCs w:val="21"/>
    </w:rPr>
  </w:style>
  <w:style w:type="paragraph" w:customStyle="1" w:styleId="a8">
    <w:name w:val="图"/>
    <w:basedOn w:val="Normal"/>
    <w:uiPriority w:val="99"/>
    <w:qFormat/>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a9">
    <w:name w:val="È±Ê¡ÎÄ±¾"/>
    <w:basedOn w:val="Normal"/>
    <w:qFormat/>
    <w:pPr>
      <w:widowControl/>
      <w:overflowPunct w:val="0"/>
      <w:autoSpaceDE w:val="0"/>
      <w:autoSpaceDN w:val="0"/>
      <w:adjustRightInd w:val="0"/>
      <w:jc w:val="left"/>
      <w:textAlignment w:val="baseline"/>
    </w:pPr>
    <w:rPr>
      <w:rFonts w:ascii="Times New Roman" w:hAnsi="Times New Roman"/>
      <w:kern w:val="0"/>
      <w:sz w:val="24"/>
      <w:szCs w:val="20"/>
    </w:rPr>
  </w:style>
  <w:style w:type="paragraph" w:customStyle="1" w:styleId="6">
    <w:name w:val="6"/>
    <w:basedOn w:val="5"/>
    <w:qFormat/>
    <w:pPr>
      <w:spacing w:line="270" w:lineRule="atLeast"/>
      <w:jc w:val="both"/>
    </w:pPr>
    <w:rPr>
      <w:b w:val="0"/>
      <w:bCs w:val="0"/>
    </w:rPr>
  </w:style>
  <w:style w:type="paragraph" w:customStyle="1" w:styleId="CharCharCharCharCharChar1Char">
    <w:name w:val="Char Char Char Char Char Char1 Char"/>
    <w:basedOn w:val="Normal"/>
    <w:qFormat/>
    <w:pPr>
      <w:widowControl/>
      <w:spacing w:after="160" w:line="240" w:lineRule="exact"/>
      <w:jc w:val="left"/>
    </w:pPr>
    <w:rPr>
      <w:rFonts w:ascii="Verdana" w:hAnsi="Verdana"/>
      <w:kern w:val="0"/>
      <w:szCs w:val="20"/>
      <w:lang w:eastAsia="en-US"/>
    </w:rPr>
  </w:style>
  <w:style w:type="paragraph" w:customStyle="1" w:styleId="24">
    <w:name w:val="2册标题4"/>
    <w:basedOn w:val="Normal"/>
    <w:next w:val="Normal"/>
    <w:qFormat/>
    <w:pPr>
      <w:spacing w:beforeLines="50" w:afterLines="50" w:line="300" w:lineRule="auto"/>
      <w:ind w:left="420" w:leftChars="200"/>
      <w:outlineLvl w:val="3"/>
    </w:pPr>
    <w:rPr>
      <w:rFonts w:ascii="Arial" w:eastAsia="幼圆" w:hAnsi="Arial" w:cs="Arial"/>
      <w:b/>
      <w:sz w:val="24"/>
      <w:szCs w:val="24"/>
    </w:rPr>
  </w:style>
  <w:style w:type="paragraph" w:customStyle="1" w:styleId="----0">
    <w:name w:val="--规划-表格-居左"/>
    <w:basedOn w:val="--"/>
    <w:qFormat/>
    <w:pPr>
      <w:spacing w:line="240" w:lineRule="auto"/>
      <w:ind w:firstLine="0" w:firstLineChars="0"/>
    </w:pPr>
    <w:rPr>
      <w:sz w:val="20"/>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qFormat/>
    <w:pPr>
      <w:widowControl/>
      <w:spacing w:line="400" w:lineRule="exact"/>
      <w:jc w:val="center"/>
    </w:pPr>
    <w:rPr>
      <w:rFonts w:ascii="Verdana" w:hAnsi="Verdana"/>
      <w:kern w:val="0"/>
      <w:szCs w:val="20"/>
      <w:lang w:eastAsia="en-US"/>
    </w:rPr>
  </w:style>
  <w:style w:type="paragraph" w:customStyle="1" w:styleId="a10">
    <w:name w:val="方案要点"/>
    <w:basedOn w:val="Normal"/>
    <w:qFormat/>
    <w:pPr>
      <w:tabs>
        <w:tab w:val="left" w:pos="420"/>
      </w:tabs>
      <w:spacing w:line="360" w:lineRule="auto"/>
      <w:ind w:left="420" w:hanging="420"/>
    </w:pPr>
    <w:rPr>
      <w:rFonts w:ascii="仿宋_GB2312" w:eastAsia="仿宋_GB2312" w:hAnsi="宋体"/>
      <w:color w:val="000000"/>
      <w:sz w:val="28"/>
      <w:szCs w:val="28"/>
    </w:rPr>
  </w:style>
  <w:style w:type="paragraph" w:customStyle="1" w:styleId="---0">
    <w:name w:val="--规划-图和表"/>
    <w:next w:val="--"/>
    <w:qFormat/>
    <w:pPr>
      <w:jc w:val="center"/>
    </w:pPr>
    <w:rPr>
      <w:rFonts w:ascii="Times New Roman" w:eastAsia="宋体" w:hAnsi="Times New Roman" w:cs="Times New Roman"/>
      <w:kern w:val="2"/>
      <w:sz w:val="21"/>
      <w:lang w:val="en-US" w:eastAsia="zh-CN" w:bidi="ar-SA"/>
    </w:rPr>
  </w:style>
  <w:style w:type="paragraph" w:customStyle="1" w:styleId="Char115">
    <w:name w:val="Char1"/>
    <w:basedOn w:val="Normal"/>
    <w:qFormat/>
    <w:pPr>
      <w:jc w:val="left"/>
    </w:pPr>
    <w:rPr>
      <w:rFonts w:ascii="Tahoma" w:hAnsi="Tahoma"/>
      <w:sz w:val="24"/>
      <w:szCs w:val="20"/>
    </w:rPr>
  </w:style>
  <w:style w:type="paragraph" w:customStyle="1" w:styleId="a11">
    <w:name w:val="正文(首行缩进)"/>
    <w:qFormat/>
    <w:pPr>
      <w:spacing w:line="360" w:lineRule="auto"/>
      <w:ind w:firstLine="488" w:firstLineChars="200"/>
      <w:jc w:val="both"/>
    </w:pPr>
    <w:rPr>
      <w:rFonts w:ascii="Times New Roman" w:eastAsia="仿宋_GB2312" w:hAnsi="Times New Roman" w:cs="Times New Roman"/>
      <w:spacing w:val="2"/>
      <w:sz w:val="24"/>
      <w:szCs w:val="24"/>
      <w:lang w:val="en-US" w:eastAsia="zh-CN" w:bidi="ar-SA"/>
    </w:rPr>
  </w:style>
  <w:style w:type="paragraph" w:customStyle="1" w:styleId="9BOLD">
    <w:name w:val="汉仪细等线简9BOLD"/>
    <w:basedOn w:val="Normal"/>
    <w:qFormat/>
    <w:pPr>
      <w:autoSpaceDE w:val="0"/>
      <w:autoSpaceDN w:val="0"/>
      <w:adjustRightInd w:val="0"/>
      <w:spacing w:line="240" w:lineRule="atLeast"/>
    </w:pPr>
    <w:rPr>
      <w:rFonts w:ascii="汉仪细等线简" w:eastAsia="汉仪细等线简" w:hAnsi="Times New Roman"/>
      <w:b/>
      <w:bCs/>
      <w:kern w:val="0"/>
      <w:sz w:val="18"/>
      <w:szCs w:val="18"/>
    </w:rPr>
  </w:style>
  <w:style w:type="paragraph" w:customStyle="1" w:styleId="a12">
    <w:name w:val="列表项目"/>
    <w:basedOn w:val="Normal"/>
    <w:qFormat/>
    <w:pPr>
      <w:tabs>
        <w:tab w:val="left" w:pos="420"/>
        <w:tab w:val="left" w:pos="1080"/>
      </w:tabs>
      <w:spacing w:line="288" w:lineRule="auto"/>
      <w:ind w:left="1080" w:hanging="360"/>
    </w:pPr>
    <w:rPr>
      <w:rFonts w:ascii="Times New Roman" w:hAnsi="Times New Roman"/>
      <w:sz w:val="24"/>
      <w:szCs w:val="20"/>
    </w:rPr>
  </w:style>
  <w:style w:type="paragraph" w:customStyle="1" w:styleId="text1">
    <w:name w:val="text1"/>
    <w:basedOn w:val="Normal"/>
    <w:qFormat/>
    <w:pPr>
      <w:widowControl/>
      <w:spacing w:before="100" w:beforeAutospacing="1" w:after="100" w:afterAutospacing="1"/>
      <w:jc w:val="left"/>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H Yb 2gj" w:eastAsia="H Yb 2gj" w:hAnsi="Times New Roman" w:cs="H Yb 2gj"/>
      <w:color w:val="000000"/>
      <w:sz w:val="24"/>
      <w:szCs w:val="24"/>
      <w:lang w:val="en-US" w:eastAsia="zh-CN" w:bidi="ar-SA"/>
    </w:rPr>
  </w:style>
  <w:style w:type="character" w:customStyle="1" w:styleId="z-Char1">
    <w:name w:val="z-窗体顶端 Char1"/>
    <w:basedOn w:val="DefaultParagraphFont"/>
    <w:link w:val="z-1"/>
    <w:uiPriority w:val="99"/>
    <w:semiHidden/>
    <w:qFormat/>
    <w:rPr>
      <w:rFonts w:ascii="Arial" w:eastAsia="宋体" w:hAnsi="Arial" w:cs="Arial"/>
      <w:vanish/>
      <w:sz w:val="16"/>
      <w:szCs w:val="16"/>
    </w:rPr>
  </w:style>
  <w:style w:type="paragraph" w:customStyle="1" w:styleId="font0">
    <w:name w:val="font0"/>
    <w:basedOn w:val="Normal"/>
    <w:qFormat/>
    <w:pPr>
      <w:widowControl/>
      <w:spacing w:before="100" w:beforeAutospacing="1" w:after="100" w:afterAutospacing="1"/>
      <w:jc w:val="left"/>
    </w:pPr>
    <w:rPr>
      <w:rFonts w:ascii="宋体" w:hAnsi="宋体" w:hint="eastAsia"/>
      <w:kern w:val="0"/>
      <w:sz w:val="24"/>
      <w:szCs w:val="24"/>
    </w:rPr>
  </w:style>
  <w:style w:type="paragraph" w:customStyle="1" w:styleId="CharCharCharCharCharChar1CharCharCharCharCharCharCharCharCharCharCharCharChar">
    <w:name w:val="Char Char Char Char Char Char1 Char Char Char Char Char Char Char Char Char Char Char Char Char"/>
    <w:basedOn w:val="Normal"/>
    <w:qFormat/>
    <w:pPr>
      <w:widowControl/>
      <w:spacing w:after="160" w:line="240" w:lineRule="exact"/>
      <w:jc w:val="left"/>
    </w:pPr>
    <w:rPr>
      <w:rFonts w:ascii="Arial" w:eastAsia="Times New Roman" w:hAnsi="Arial" w:cs="Verdana"/>
      <w:b/>
      <w:kern w:val="0"/>
      <w:sz w:val="24"/>
      <w:szCs w:val="24"/>
      <w:lang w:eastAsia="en-US"/>
    </w:rPr>
  </w:style>
  <w:style w:type="paragraph" w:customStyle="1" w:styleId="xl28">
    <w:name w:val="xl28"/>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4">
    <w:name w:val="样式4"/>
    <w:basedOn w:val="Normal"/>
    <w:qFormat/>
    <w:pPr>
      <w:tabs>
        <w:tab w:val="left" w:pos="842"/>
      </w:tabs>
      <w:spacing w:line="360" w:lineRule="auto"/>
      <w:ind w:left="842" w:hanging="420"/>
    </w:pPr>
    <w:rPr>
      <w:rFonts w:ascii="Times New Roman" w:hAnsi="Times New Roman"/>
      <w:sz w:val="24"/>
      <w:szCs w:val="24"/>
    </w:rPr>
  </w:style>
  <w:style w:type="paragraph" w:customStyle="1" w:styleId="a13">
    <w:name w:val="文字"/>
    <w:basedOn w:val="Normal"/>
    <w:qFormat/>
    <w:pPr>
      <w:tabs>
        <w:tab w:val="left" w:pos="8520"/>
      </w:tabs>
      <w:spacing w:line="312" w:lineRule="auto"/>
      <w:ind w:right="-210" w:firstLine="556"/>
    </w:pPr>
    <w:rPr>
      <w:rFonts w:ascii="宋体" w:hAnsi="Times New Roman"/>
      <w:sz w:val="28"/>
      <w:szCs w:val="20"/>
    </w:rPr>
  </w:style>
  <w:style w:type="paragraph" w:customStyle="1" w:styleId="font5">
    <w:name w:val="font5"/>
    <w:basedOn w:val="Normal"/>
    <w:qFormat/>
    <w:pPr>
      <w:widowControl/>
      <w:spacing w:before="100" w:beforeAutospacing="1" w:after="100" w:afterAutospacing="1"/>
      <w:jc w:val="left"/>
    </w:pPr>
    <w:rPr>
      <w:rFonts w:ascii="宋体" w:hAnsi="宋体" w:hint="eastAsia"/>
      <w:kern w:val="0"/>
      <w:sz w:val="18"/>
      <w:szCs w:val="18"/>
    </w:rPr>
  </w:style>
  <w:style w:type="paragraph" w:customStyle="1" w:styleId="---1">
    <w:name w:val="--规划-题注"/>
    <w:basedOn w:val="Normal"/>
    <w:next w:val="--"/>
    <w:qFormat/>
    <w:pPr>
      <w:spacing w:line="360" w:lineRule="auto"/>
      <w:jc w:val="center"/>
    </w:pPr>
    <w:rPr>
      <w:rFonts w:ascii="Times New Roman" w:eastAsia="黑体" w:hAnsi="Times New Roman"/>
      <w:szCs w:val="24"/>
    </w:rPr>
  </w:style>
  <w:style w:type="paragraph" w:customStyle="1" w:styleId="font6">
    <w:name w:val="font6"/>
    <w:basedOn w:val="Normal"/>
    <w:qFormat/>
    <w:pPr>
      <w:widowControl/>
      <w:spacing w:before="100" w:beforeAutospacing="1" w:after="100" w:afterAutospacing="1"/>
      <w:jc w:val="left"/>
    </w:pPr>
    <w:rPr>
      <w:rFonts w:ascii="Times New Roman" w:hAnsi="Times New Roman"/>
      <w:kern w:val="0"/>
      <w:sz w:val="24"/>
      <w:szCs w:val="24"/>
    </w:rPr>
  </w:style>
  <w:style w:type="paragraph" w:customStyle="1" w:styleId="--Char">
    <w:name w:val="--规划正文 Char"/>
    <w:basedOn w:val="Normal"/>
    <w:qFormat/>
    <w:pPr>
      <w:spacing w:line="360" w:lineRule="auto"/>
      <w:ind w:firstLine="200" w:firstLineChars="200"/>
    </w:pPr>
    <w:rPr>
      <w:rFonts w:ascii="Times New Roman" w:hAnsi="Times New Roman"/>
      <w:sz w:val="24"/>
      <w:szCs w:val="24"/>
    </w:rPr>
  </w:style>
  <w:style w:type="paragraph" w:customStyle="1" w:styleId="a14">
    <w:name w:val="缺省文本"/>
    <w:basedOn w:val="Normal"/>
    <w:qFormat/>
    <w:pPr>
      <w:autoSpaceDE w:val="0"/>
      <w:autoSpaceDN w:val="0"/>
      <w:adjustRightInd w:val="0"/>
      <w:jc w:val="left"/>
    </w:pPr>
    <w:rPr>
      <w:rFonts w:ascii="Times New Roman" w:hAnsi="Times New Roman"/>
      <w:kern w:val="0"/>
      <w:szCs w:val="24"/>
    </w:rPr>
  </w:style>
  <w:style w:type="paragraph" w:customStyle="1" w:styleId="3">
    <w:name w:val="样式3"/>
    <w:basedOn w:val="Heading1"/>
    <w:qFormat/>
    <w:pPr>
      <w:tabs>
        <w:tab w:val="left" w:pos="420"/>
      </w:tabs>
      <w:spacing w:before="240" w:after="240" w:line="480" w:lineRule="auto"/>
      <w:ind w:left="420" w:right="210" w:hanging="420" w:rightChars="100"/>
      <w:jc w:val="left"/>
    </w:pPr>
    <w:rPr>
      <w:rFonts w:ascii="Times New Roman" w:hAnsi="Times New Roman"/>
      <w:sz w:val="32"/>
    </w:rPr>
  </w:style>
  <w:style w:type="paragraph" w:customStyle="1" w:styleId="xl24">
    <w:name w:val="xl24"/>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72">
    <w:name w:val="xl72"/>
    <w:basedOn w:val="Normal"/>
    <w:qFormat/>
    <w:pPr>
      <w:widowControl/>
      <w:spacing w:before="100" w:beforeAutospacing="1" w:after="100" w:afterAutospacing="1"/>
      <w:jc w:val="left"/>
    </w:pPr>
    <w:rPr>
      <w:rFonts w:ascii="宋体" w:hAnsi="宋体"/>
      <w:b/>
      <w:bCs/>
      <w:kern w:val="0"/>
      <w:sz w:val="28"/>
      <w:szCs w:val="28"/>
    </w:rPr>
  </w:style>
  <w:style w:type="paragraph" w:customStyle="1" w:styleId="7">
    <w:name w:val="7"/>
    <w:basedOn w:val="Normal"/>
    <w:qFormat/>
    <w:pPr>
      <w:autoSpaceDE w:val="0"/>
      <w:autoSpaceDN w:val="0"/>
      <w:adjustRightInd w:val="0"/>
      <w:spacing w:line="270" w:lineRule="atLeast"/>
      <w:jc w:val="left"/>
    </w:pPr>
    <w:rPr>
      <w:rFonts w:ascii="宋体" w:hAnsi="Times New Roman"/>
      <w:kern w:val="0"/>
      <w:sz w:val="18"/>
      <w:szCs w:val="18"/>
    </w:rPr>
  </w:style>
  <w:style w:type="paragraph" w:customStyle="1" w:styleId="Char23">
    <w:name w:val="正文(首行缩进) Char"/>
    <w:qFormat/>
    <w:pPr>
      <w:spacing w:before="120" w:after="60" w:line="360" w:lineRule="auto"/>
      <w:ind w:firstLine="200" w:firstLineChars="200"/>
    </w:pPr>
    <w:rPr>
      <w:rFonts w:ascii="Times New Roman" w:eastAsia="仿宋_GB2312" w:hAnsi="Times New Roman" w:cs="Times New Roman"/>
      <w:spacing w:val="2"/>
      <w:kern w:val="24"/>
      <w:sz w:val="24"/>
      <w:szCs w:val="24"/>
      <w:lang w:val="en-US" w:eastAsia="zh-CN" w:bidi="ar-SA"/>
    </w:rPr>
  </w:style>
  <w:style w:type="paragraph" w:customStyle="1" w:styleId="8">
    <w:name w:val="汉议细等线简8"/>
    <w:qFormat/>
    <w:pPr>
      <w:widowControl w:val="0"/>
      <w:autoSpaceDE w:val="0"/>
      <w:autoSpaceDN w:val="0"/>
      <w:adjustRightInd w:val="0"/>
      <w:spacing w:line="260" w:lineRule="atLeast"/>
      <w:jc w:val="both"/>
    </w:pPr>
    <w:rPr>
      <w:rFonts w:ascii="汉仪细等线简" w:eastAsia="汉仪细等线简" w:hAnsi="Times New Roman" w:cs="Times New Roman"/>
      <w:color w:val="000000"/>
      <w:sz w:val="16"/>
      <w:szCs w:val="16"/>
      <w:lang w:val="en-US" w:eastAsia="zh-CN" w:bidi="ar-SA"/>
    </w:rPr>
  </w:style>
  <w:style w:type="paragraph" w:customStyle="1" w:styleId="80">
    <w:name w:val="8"/>
    <w:basedOn w:val="Normal"/>
    <w:next w:val="BodyTextIndent"/>
    <w:qFormat/>
    <w:pPr>
      <w:spacing w:after="120"/>
      <w:ind w:left="420" w:leftChars="200"/>
    </w:pPr>
    <w:rPr>
      <w:rFonts w:ascii="Times New Roman" w:hAnsi="Times New Roman"/>
      <w:szCs w:val="24"/>
    </w:rPr>
  </w:style>
  <w:style w:type="paragraph" w:customStyle="1" w:styleId="a15">
    <w:name w:val="姜文清定义的正文"/>
    <w:basedOn w:val="Normal"/>
    <w:qFormat/>
    <w:pPr>
      <w:spacing w:line="240" w:lineRule="atLeast"/>
      <w:ind w:firstLine="567"/>
    </w:pPr>
    <w:rPr>
      <w:rFonts w:ascii="Times New Roman" w:hAnsi="Times New Roman"/>
      <w:szCs w:val="20"/>
    </w:rPr>
  </w:style>
  <w:style w:type="paragraph" w:customStyle="1" w:styleId="CM2">
    <w:name w:val="CM2"/>
    <w:basedOn w:val="Default"/>
    <w:next w:val="Default"/>
    <w:qFormat/>
    <w:pPr>
      <w:spacing w:line="200" w:lineRule="atLeast"/>
    </w:pPr>
    <w:rPr>
      <w:rFonts w:ascii="Arial" w:eastAsia="宋体" w:hAnsi="Arial" w:cs="Times New Roman"/>
      <w:color w:val="auto"/>
    </w:rPr>
  </w:style>
  <w:style w:type="character" w:customStyle="1" w:styleId="z-Char10">
    <w:name w:val="z-窗体底端 Char1"/>
    <w:basedOn w:val="DefaultParagraphFont"/>
    <w:link w:val="z-10"/>
    <w:uiPriority w:val="99"/>
    <w:semiHidden/>
    <w:qFormat/>
    <w:rPr>
      <w:rFonts w:ascii="Arial" w:eastAsia="宋体" w:hAnsi="Arial" w:cs="Arial"/>
      <w:vanish/>
      <w:sz w:val="16"/>
      <w:szCs w:val="16"/>
    </w:rPr>
  </w:style>
  <w:style w:type="paragraph" w:customStyle="1" w:styleId="a140">
    <w:name w:val="a14"/>
    <w:basedOn w:val="Normal"/>
    <w:qFormat/>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a16">
    <w:name w:val="正文样式"/>
    <w:basedOn w:val="Normal"/>
    <w:qFormat/>
    <w:pPr>
      <w:adjustRightInd w:val="0"/>
      <w:spacing w:line="400" w:lineRule="atLeast"/>
      <w:ind w:firstLine="570" w:firstLineChars="203"/>
      <w:textAlignment w:val="baseline"/>
    </w:pPr>
    <w:rPr>
      <w:rFonts w:ascii="Times New Roman" w:eastAsia="仿宋_GB2312" w:hAnsi="Times New Roman"/>
      <w:kern w:val="0"/>
      <w:sz w:val="28"/>
      <w:szCs w:val="20"/>
    </w:rPr>
  </w:style>
  <w:style w:type="paragraph" w:customStyle="1" w:styleId="xl25">
    <w:name w:val="xl25"/>
    <w:basedOn w:val="Normal"/>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4"/>
    </w:rPr>
  </w:style>
  <w:style w:type="paragraph" w:customStyle="1" w:styleId="a17">
    <w:name w:val="表格字"/>
    <w:basedOn w:val="Normal"/>
    <w:qFormat/>
    <w:pPr>
      <w:adjustRightInd w:val="0"/>
      <w:jc w:val="center"/>
    </w:pPr>
    <w:rPr>
      <w:rFonts w:ascii="宋体" w:hAnsi="Times New Roman"/>
      <w:sz w:val="24"/>
      <w:szCs w:val="20"/>
    </w:rPr>
  </w:style>
  <w:style w:type="paragraph" w:customStyle="1" w:styleId="qw">
    <w:name w:val="qw"/>
    <w:qFormat/>
    <w:pPr>
      <w:widowControl w:val="0"/>
      <w:adjustRightInd w:val="0"/>
      <w:spacing w:line="312" w:lineRule="atLeast"/>
      <w:jc w:val="both"/>
      <w:textAlignment w:val="baseline"/>
    </w:pPr>
    <w:rPr>
      <w:rFonts w:ascii="宋体" w:eastAsia="宋体" w:hAnsi="Times New Roman" w:cs="Times New Roman"/>
      <w:sz w:val="24"/>
      <w:lang w:val="en-US" w:eastAsia="zh-CN" w:bidi="ar-SA"/>
    </w:rPr>
  </w:style>
  <w:style w:type="paragraph" w:customStyle="1" w:styleId="a18">
    <w:name w:val="评价"/>
    <w:basedOn w:val="Normal"/>
    <w:qFormat/>
    <w:pPr>
      <w:spacing w:afterLines="20"/>
      <w:ind w:firstLine="1446" w:firstLineChars="200"/>
    </w:pPr>
    <w:rPr>
      <w:sz w:val="24"/>
      <w:szCs w:val="24"/>
    </w:rPr>
  </w:style>
  <w:style w:type="paragraph" w:customStyle="1" w:styleId="13">
    <w:name w:val="修订1"/>
    <w:uiPriority w:val="99"/>
    <w:semiHidden/>
    <w:qFormat/>
    <w:rPr>
      <w:rFonts w:ascii="Times New Roman" w:eastAsia="宋体" w:hAnsi="Times New Roman" w:cs="Times New Roman"/>
      <w:kern w:val="2"/>
      <w:sz w:val="21"/>
      <w:szCs w:val="24"/>
      <w:lang w:val="en-US" w:eastAsia="zh-CN" w:bidi="ar-SA"/>
    </w:rPr>
  </w:style>
  <w:style w:type="paragraph" w:customStyle="1" w:styleId="a19">
    <w:name w:val="正文(缩进) 五号"/>
    <w:basedOn w:val="Normal"/>
    <w:qFormat/>
    <w:pPr>
      <w:widowControl/>
      <w:spacing w:after="120" w:line="360" w:lineRule="auto"/>
      <w:ind w:firstLine="420" w:firstLineChars="200"/>
      <w:jc w:val="left"/>
    </w:pPr>
    <w:rPr>
      <w:rFonts w:ascii="Arial" w:hAnsi="Arial" w:cs="宋体"/>
      <w:kern w:val="0"/>
      <w:szCs w:val="20"/>
    </w:rPr>
  </w:style>
  <w:style w:type="paragraph" w:customStyle="1" w:styleId="a20">
    <w:name w:val="封面标题"/>
    <w:basedOn w:val="Normal"/>
    <w:qFormat/>
    <w:pPr>
      <w:spacing w:line="360" w:lineRule="auto"/>
      <w:jc w:val="center"/>
    </w:pPr>
    <w:rPr>
      <w:rFonts w:ascii="Times New Roman" w:eastAsia="黑体" w:hAnsi="Times New Roman"/>
      <w:sz w:val="48"/>
      <w:szCs w:val="20"/>
    </w:rPr>
  </w:style>
  <w:style w:type="paragraph" w:customStyle="1" w:styleId="20">
    <w:name w:val="列出段落2"/>
    <w:basedOn w:val="Normal"/>
    <w:qFormat/>
    <w:pPr>
      <w:ind w:firstLine="420" w:firstLineChars="200"/>
    </w:pPr>
    <w:rPr>
      <w:szCs w:val="20"/>
    </w:rPr>
  </w:style>
  <w:style w:type="character" w:customStyle="1" w:styleId="font31">
    <w:name w:val="font31"/>
    <w:basedOn w:val="DefaultParagraphFont"/>
    <w:qFormat/>
    <w:rPr>
      <w:rFonts w:ascii="Times New Roman" w:hAnsi="Times New Roman" w:cs="Times New Roman" w:hint="default"/>
      <w:color w:val="000000"/>
      <w:sz w:val="21"/>
      <w:szCs w:val="21"/>
      <w:u w:val="none"/>
    </w:rPr>
  </w:style>
  <w:style w:type="character" w:customStyle="1" w:styleId="Char116">
    <w:name w:val="正文缩进 Char1"/>
    <w:qFormat/>
    <w:rPr>
      <w:rFonts w:eastAsia="宋体"/>
      <w:kern w:val="2"/>
      <w:sz w:val="21"/>
      <w:lang w:val="en-US" w:eastAsia="zh-CN" w:bidi="ar-SA"/>
    </w:rPr>
  </w:style>
  <w:style w:type="character" w:customStyle="1" w:styleId="a21">
    <w:name w:val="列表段落 字符"/>
    <w:link w:val="10"/>
    <w:qFormat/>
    <w:rPr>
      <w:rFonts w:ascii="Calibri" w:eastAsia="宋体" w:hAnsi="Calibri" w:cs="Calibri"/>
      <w:szCs w:val="21"/>
    </w:rPr>
  </w:style>
  <w:style w:type="paragraph" w:customStyle="1" w:styleId="xl75">
    <w:name w:val="xl75"/>
    <w:basedOn w:val="Normal"/>
    <w:qFormat/>
    <w:pPr>
      <w:widowControl/>
      <w:spacing w:before="100" w:beforeAutospacing="1" w:after="100" w:afterAutospacing="1"/>
      <w:jc w:val="center"/>
      <w:textAlignment w:val="center"/>
    </w:pPr>
    <w:rPr>
      <w:rFonts w:ascii="新宋体" w:eastAsia="新宋体" w:hAnsi="新宋体" w:cs="宋体"/>
      <w:kern w:val="0"/>
      <w:sz w:val="24"/>
      <w:szCs w:val="24"/>
    </w:rPr>
  </w:style>
  <w:style w:type="paragraph" w:customStyle="1" w:styleId="a22">
    <w:name w:val=".正文"/>
    <w:basedOn w:val="Normal"/>
    <w:qFormat/>
    <w:pPr>
      <w:spacing w:beforeLines="50"/>
      <w:ind w:firstLine="200" w:firstLineChars="200"/>
    </w:pPr>
    <w:rPr>
      <w:rFonts w:eastAsia="华文仿宋"/>
    </w:rPr>
  </w:style>
  <w:style w:type="paragraph" w:customStyle="1" w:styleId="p9">
    <w:name w:val="p9"/>
    <w:basedOn w:val="Normal"/>
    <w:autoRedefine/>
    <w:qFormat/>
    <w:pPr>
      <w:widowControl/>
      <w:spacing w:before="100" w:beforeAutospacing="1" w:after="100" w:afterAutospacing="1"/>
      <w:jc w:val="left"/>
    </w:pPr>
    <w:rPr>
      <w:rFonts w:eastAsia="Arial Unicode MS" w:asciiTheme="minorHAnsi" w:hAnsiTheme="minorHAnsi" w:cs="Arial Unicode MS"/>
      <w:color w:val="000000"/>
      <w:kern w:val="0"/>
      <w:sz w:val="18"/>
      <w:szCs w:val="18"/>
    </w:rPr>
  </w:style>
  <w:style w:type="paragraph" w:customStyle="1" w:styleId="TableText">
    <w:name w:val="Table Text"/>
    <w:basedOn w:val="Normal"/>
    <w:semiHidden/>
    <w:qFormat/>
    <w:rPr>
      <w:rFonts w:ascii="微软雅黑" w:eastAsia="微软雅黑" w:hAnsi="微软雅黑" w:cs="微软雅黑"/>
      <w:sz w:val="24"/>
      <w:szCs w:val="24"/>
      <w:lang w:val="en-US" w:eastAsia="en-US" w:bidi="ar-SA"/>
    </w:rPr>
  </w:style>
  <w:style w:type="table" w:customStyle="1" w:styleId="TableNormal0">
    <w:name w:val="Table Normal_0"/>
    <w:semiHidden/>
    <w:unhideWhenUsed/>
    <w:qFormat/>
    <w:tblPr>
      <w:tblCellMar>
        <w:top w:w="0" w:type="dxa"/>
        <w:left w:w="0" w:type="dxa"/>
        <w:bottom w:w="0" w:type="dxa"/>
        <w:right w:w="0" w:type="dxa"/>
      </w:tblCellMar>
    </w:tblPr>
  </w:style>
  <w:style w:type="table" w:customStyle="1" w:styleId="14">
    <w:name w:val="网格型1"/>
    <w:basedOn w:val="TableNormal"/>
    <w:qFormat/>
    <w:pPr>
      <w:widowControl w:val="0"/>
      <w:jc w:val="both"/>
    </w:pPr>
    <w:rPr>
      <w:rFonts w:eastAsia="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77</Pages>
  <Words>2735</Words>
  <Characters>2758</Characters>
  <Application>Microsoft Office Word</Application>
  <DocSecurity>0</DocSecurity>
  <Lines>448</Lines>
  <Paragraphs>126</Paragraphs>
  <ScaleCrop>false</ScaleCrop>
  <Company>mycomputer</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中正招标 党工</cp:lastModifiedBy>
  <cp:revision>413</cp:revision>
  <cp:lastPrinted>2019-10-21T08:50:00Z</cp:lastPrinted>
  <dcterms:created xsi:type="dcterms:W3CDTF">2020-09-24T06:11:00Z</dcterms:created>
  <dcterms:modified xsi:type="dcterms:W3CDTF">2025-05-14T03:17:31Z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9BF0787322D74AA6B720B0E510CF0198</vt:lpwstr>
  </property>
  <property fmtid="{D5CDD505-2E9C-101B-9397-08002B2CF9AE}" pid="3" name="KSOProductBuildVer">
    <vt:lpwstr>2052-12.1.0.21171</vt:lpwstr>
  </property>
  <property fmtid="{D5CDD505-2E9C-101B-9397-08002B2CF9AE}" pid="4" name="KSOTemplateDocerSaveRecord">
    <vt:lpwstr>eyJoZGlkIjoiMzc3NDQ3NDMwNDI1NjM4YWE2ZmE5MjkzN2JmZGM2OTgiLCJ1c2VySWQiOiI0NjMwNjU1NzcifQ==</vt:lpwstr>
  </property>
</Properties>
</file>